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F3" w:rsidRDefault="00E13E25">
      <w:pPr>
        <w:pStyle w:val="Cmsor1"/>
        <w:numPr>
          <w:ilvl w:val="0"/>
          <w:numId w:val="0"/>
        </w:numPr>
        <w:tabs>
          <w:tab w:val="center" w:pos="4674"/>
        </w:tabs>
        <w:spacing w:after="64" w:line="267" w:lineRule="auto"/>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r>
      <w:r>
        <w:t xml:space="preserve">TÁJÉKOZTATÁS </w:t>
      </w:r>
    </w:p>
    <w:p w:rsidR="00B82BF3" w:rsidRDefault="00E13E25">
      <w:pPr>
        <w:spacing w:after="40" w:line="259" w:lineRule="auto"/>
        <w:ind w:left="34" w:firstLine="0"/>
        <w:jc w:val="center"/>
      </w:pPr>
      <w:r>
        <w:t xml:space="preserve">az engedély nélkül fúrt vagy ásott kutak engedélyeztetéséről </w:t>
      </w:r>
    </w:p>
    <w:p w:rsidR="00B82BF3" w:rsidRDefault="00E13E25">
      <w:pPr>
        <w:spacing w:after="0" w:line="259" w:lineRule="auto"/>
        <w:ind w:left="139" w:firstLine="0"/>
        <w:jc w:val="left"/>
      </w:pPr>
      <w:r>
        <w:rPr>
          <w:rFonts w:ascii="Times New Roman" w:eastAsia="Times New Roman" w:hAnsi="Times New Roman" w:cs="Times New Roman"/>
        </w:rPr>
        <w:t xml:space="preserve"> </w:t>
      </w:r>
    </w:p>
    <w:p w:rsidR="00B82BF3" w:rsidRDefault="00E13E25">
      <w:pPr>
        <w:spacing w:after="35" w:line="259" w:lineRule="auto"/>
        <w:ind w:left="141" w:right="98"/>
      </w:pPr>
      <w:r>
        <w:rPr>
          <w:sz w:val="23"/>
        </w:rPr>
        <w:t xml:space="preserve">Az Országgyűlés 2017. évben is módosította a vízgazdálkodásról szóló 1995. évi LVII. törvényt (a továbbiakban: </w:t>
      </w:r>
      <w:proofErr w:type="spellStart"/>
      <w:r>
        <w:rPr>
          <w:sz w:val="23"/>
        </w:rPr>
        <w:t>Vgtv</w:t>
      </w:r>
      <w:proofErr w:type="spellEnd"/>
      <w:r>
        <w:rPr>
          <w:sz w:val="23"/>
        </w:rPr>
        <w:t xml:space="preserve">.). A </w:t>
      </w:r>
      <w:proofErr w:type="spellStart"/>
      <w:r>
        <w:rPr>
          <w:sz w:val="23"/>
        </w:rPr>
        <w:t>Vgtv</w:t>
      </w:r>
      <w:proofErr w:type="spellEnd"/>
      <w:r>
        <w:rPr>
          <w:sz w:val="23"/>
        </w:rPr>
        <w:t xml:space="preserve">. 29. § (7) bekezdésének értelmében mentesül a vízgazdálkodási bírság megfizetése alól az a létesítő, aki 2018. január 1-jét megelőzően engedély nélkül vagy engedélytől eltérően létesített vízkivételt biztosító vízilétesítményt, ha a vízjogi fennmaradási engedélyezési eljárást 2018. december 31-ig kérelmezi, </w:t>
      </w:r>
      <w:r>
        <w:rPr>
          <w:b/>
          <w:u w:val="single" w:color="000000"/>
        </w:rPr>
        <w:t>és</w:t>
      </w:r>
      <w:r>
        <w:rPr>
          <w:sz w:val="23"/>
        </w:rPr>
        <w:t xml:space="preserve"> az engedély megadásának feltételei fennállnak. </w:t>
      </w:r>
    </w:p>
    <w:p w:rsidR="00B82BF3" w:rsidRDefault="00E13E25">
      <w:pPr>
        <w:spacing w:after="0" w:line="259" w:lineRule="auto"/>
        <w:ind w:left="139" w:firstLine="0"/>
        <w:jc w:val="left"/>
      </w:pPr>
      <w:r>
        <w:rPr>
          <w:rFonts w:ascii="Times New Roman" w:eastAsia="Times New Roman" w:hAnsi="Times New Roman" w:cs="Times New Roman"/>
        </w:rPr>
        <w:t xml:space="preserve"> </w:t>
      </w:r>
    </w:p>
    <w:p w:rsidR="00B82BF3" w:rsidRDefault="00E13E25">
      <w:pPr>
        <w:ind w:left="144" w:right="91"/>
      </w:pPr>
      <w:r>
        <w:t xml:space="preserve">A törvény szabályai szerint a mentesítésre alapot ad önmagában az, ha valaki még az idei évben beadja a fennmaradási engedély kiadására irányuló kérelmét, </w:t>
      </w:r>
      <w:r>
        <w:rPr>
          <w:i/>
        </w:rPr>
        <w:t>vagyis nem szükséges</w:t>
      </w:r>
      <w:r>
        <w:t xml:space="preserve">, hogy év végéig az engedélyt meg is kapja. </w:t>
      </w:r>
    </w:p>
    <w:p w:rsidR="00B82BF3" w:rsidRDefault="00E13E25">
      <w:pPr>
        <w:spacing w:after="0" w:line="259" w:lineRule="auto"/>
        <w:ind w:left="139" w:firstLine="0"/>
        <w:jc w:val="left"/>
      </w:pPr>
      <w:r>
        <w:rPr>
          <w:rFonts w:ascii="Times New Roman" w:eastAsia="Times New Roman" w:hAnsi="Times New Roman" w:cs="Times New Roman"/>
        </w:rPr>
        <w:t xml:space="preserve"> </w:t>
      </w:r>
    </w:p>
    <w:p w:rsidR="00B82BF3" w:rsidRDefault="00E13E25">
      <w:pPr>
        <w:spacing w:after="54" w:line="259" w:lineRule="auto"/>
        <w:ind w:left="132" w:right="83"/>
        <w:jc w:val="center"/>
      </w:pPr>
      <w:r>
        <w:rPr>
          <w:b/>
        </w:rPr>
        <w:t xml:space="preserve">Mire kell engedélyt kérni és ki adja ki? </w:t>
      </w:r>
    </w:p>
    <w:p w:rsidR="00B82BF3" w:rsidRDefault="00E13E25">
      <w:pPr>
        <w:spacing w:after="0" w:line="259" w:lineRule="auto"/>
        <w:ind w:left="139" w:firstLine="0"/>
        <w:jc w:val="left"/>
      </w:pPr>
      <w:r>
        <w:rPr>
          <w:rFonts w:ascii="Times New Roman" w:eastAsia="Times New Roman" w:hAnsi="Times New Roman" w:cs="Times New Roman"/>
        </w:rPr>
        <w:t xml:space="preserve"> </w:t>
      </w:r>
    </w:p>
    <w:p w:rsidR="00B82BF3" w:rsidRDefault="00E13E25">
      <w:pPr>
        <w:ind w:left="144" w:right="91"/>
      </w:pPr>
      <w:r>
        <w:t xml:space="preserve">A kutak megépítéséhez, átalakításához, üzemeltetéséhez és megszüntetéséhez vízjogi engedély szükséges. Abban az esetben, ha a vízkivételt biztosító kút vízjogi engedély nélkül került megépítésre, vagy attól eltérően került megvalósításra, fennmaradási engedélyt kell kérni. </w:t>
      </w:r>
    </w:p>
    <w:p w:rsidR="00B82BF3" w:rsidRDefault="00E13E25">
      <w:pPr>
        <w:spacing w:after="0" w:line="259" w:lineRule="auto"/>
        <w:ind w:left="139" w:firstLine="0"/>
        <w:jc w:val="left"/>
      </w:pPr>
      <w:r>
        <w:rPr>
          <w:rFonts w:ascii="Times New Roman" w:eastAsia="Times New Roman" w:hAnsi="Times New Roman" w:cs="Times New Roman"/>
        </w:rPr>
        <w:t xml:space="preserve"> </w:t>
      </w:r>
    </w:p>
    <w:p w:rsidR="00B82BF3" w:rsidRDefault="00E13E25">
      <w:pPr>
        <w:ind w:left="144" w:right="91"/>
      </w:pPr>
      <w:r>
        <w:t xml:space="preserve">A fennmaradási engedély kiadására vonatkozó hatáskör megoszlik a helyi vízgazdálkodási hatósági jogkörrel rendelkező jegyző, illetve a vízügyi és vízvédelmi hatáskörrel rendelkező fővárosi, és a kijelölt megyei katasztrófavédelmi igazgatóságok (a továbbiakban: katasztrófavédelmi igazgatóság) között, attól függően, hogy milyen kútról van szó, illetve az milyen célú vízigény kielégítését szolgálja. </w:t>
      </w:r>
    </w:p>
    <w:p w:rsidR="00B82BF3" w:rsidRDefault="00E13E25">
      <w:pPr>
        <w:spacing w:after="0" w:line="259" w:lineRule="auto"/>
        <w:ind w:left="139" w:firstLine="0"/>
        <w:jc w:val="left"/>
      </w:pPr>
      <w:r>
        <w:rPr>
          <w:rFonts w:ascii="Times New Roman" w:eastAsia="Times New Roman" w:hAnsi="Times New Roman" w:cs="Times New Roman"/>
        </w:rPr>
        <w:t xml:space="preserve"> </w:t>
      </w:r>
    </w:p>
    <w:p w:rsidR="00B82BF3" w:rsidRDefault="00E13E25">
      <w:pPr>
        <w:spacing w:after="71"/>
        <w:ind w:left="144" w:right="91"/>
      </w:pPr>
      <w:r>
        <w:t xml:space="preserve">A vízgazdálkodási hatósági jogkör gyakorlásáról szóló 72/1996. (V.22.) Kormányrendelet (a továbbiakban: Korm. rendelet) alapján </w:t>
      </w:r>
      <w:r>
        <w:rPr>
          <w:b/>
        </w:rPr>
        <w:t xml:space="preserve">a jegyző engedélye szükséges </w:t>
      </w:r>
    </w:p>
    <w:p w:rsidR="00B82BF3" w:rsidRDefault="00E13E25">
      <w:pPr>
        <w:spacing w:after="60"/>
        <w:ind w:left="144" w:right="91"/>
      </w:pPr>
      <w:r>
        <w:rPr>
          <w:i/>
        </w:rPr>
        <w:t>a)</w:t>
      </w:r>
      <w:r>
        <w:rPr>
          <w:rFonts w:ascii="Arial" w:eastAsia="Arial" w:hAnsi="Arial" w:cs="Arial"/>
          <w:i/>
        </w:rPr>
        <w:t xml:space="preserve"> </w:t>
      </w:r>
      <w:r>
        <w:t xml:space="preserve">olyan kút létesítéséhez, üzemeltetéséhez, fennmaradásához és megszüntetéséhez, amely a </w:t>
      </w:r>
      <w:r>
        <w:rPr>
          <w:b/>
          <w:u w:val="single" w:color="000000"/>
        </w:rPr>
        <w:t>következő feltételeket együttesen teljesíti:</w:t>
      </w:r>
      <w:r>
        <w:rPr>
          <w:i/>
        </w:rPr>
        <w:t xml:space="preserve"> </w:t>
      </w:r>
    </w:p>
    <w:p w:rsidR="00B82BF3" w:rsidRDefault="00E13E25">
      <w:pPr>
        <w:spacing w:after="80" w:line="244" w:lineRule="auto"/>
        <w:ind w:left="551" w:hanging="427"/>
        <w:jc w:val="left"/>
      </w:pPr>
      <w:proofErr w:type="spellStart"/>
      <w:r>
        <w:rPr>
          <w:i/>
        </w:rPr>
        <w:t>aa</w:t>
      </w:r>
      <w:proofErr w:type="spellEnd"/>
      <w:r>
        <w:rPr>
          <w:i/>
        </w:rPr>
        <w:t>)</w:t>
      </w:r>
      <w:r>
        <w:rPr>
          <w:rFonts w:ascii="Arial" w:eastAsia="Arial" w:hAnsi="Arial" w:cs="Arial"/>
          <w:i/>
        </w:rPr>
        <w:t xml:space="preserve"> </w:t>
      </w:r>
      <w:r>
        <w:t>a vízbázisok, a távlati vízbázisok, valamint az ivóvízellátást szolgáló vízilétesítmények védelméről szóló kormányrendelet szerint kijelölt, kijelölés alatt álló, illetve előzetesen lehatárolt belső, külső és hidrogeológiai védőidom, védőterület, valamint karszt- vagy rétegvízkészlet igénybevétele, érintése nélkül, és 500 m</w:t>
      </w:r>
      <w:r>
        <w:rPr>
          <w:vertAlign w:val="superscript"/>
        </w:rPr>
        <w:t>3</w:t>
      </w:r>
      <w:r>
        <w:t xml:space="preserve">/év vízigénybevétellel kizárólag </w:t>
      </w:r>
    </w:p>
    <w:p w:rsidR="00B82BF3" w:rsidRDefault="00E13E25">
      <w:pPr>
        <w:spacing w:after="62"/>
        <w:ind w:left="144" w:right="91"/>
      </w:pPr>
      <w:r>
        <w:rPr>
          <w:i/>
        </w:rPr>
        <w:t xml:space="preserve"> </w:t>
      </w:r>
      <w:r>
        <w:t>talajvízkészlet vagy parti szűrésű vízkészlet felhasználásával üzemel,</w:t>
      </w:r>
      <w:r>
        <w:rPr>
          <w:i/>
        </w:rPr>
        <w:t xml:space="preserve"> ab) </w:t>
      </w:r>
      <w:r>
        <w:t>épülettel vagy annak építésére jogosító hatósági határozattal, egyszerű bejelentéssel rendelkező</w:t>
      </w:r>
      <w:r>
        <w:rPr>
          <w:i/>
        </w:rPr>
        <w:t xml:space="preserve">   </w:t>
      </w:r>
      <w:r>
        <w:t>ingatlanon van, és magánszemélyek részéről a házi ivóvízigény</w:t>
      </w:r>
      <w:r>
        <w:rPr>
          <w:vertAlign w:val="superscript"/>
        </w:rPr>
        <w:footnoteReference w:id="1"/>
      </w:r>
      <w:r>
        <w:t xml:space="preserve"> és a háztartási igények </w:t>
      </w:r>
    </w:p>
    <w:p w:rsidR="00B82BF3" w:rsidRDefault="00E13E25">
      <w:pPr>
        <w:tabs>
          <w:tab w:val="center" w:pos="1642"/>
        </w:tabs>
        <w:spacing w:after="56"/>
        <w:ind w:left="0" w:firstLine="0"/>
        <w:jc w:val="left"/>
      </w:pPr>
      <w:r>
        <w:rPr>
          <w:i/>
        </w:rPr>
        <w:t xml:space="preserve"> </w:t>
      </w:r>
      <w:r>
        <w:rPr>
          <w:i/>
        </w:rPr>
        <w:tab/>
      </w:r>
      <w:r>
        <w:t xml:space="preserve">kielégítését szolgálja, és </w:t>
      </w:r>
    </w:p>
    <w:p w:rsidR="00B82BF3" w:rsidRDefault="00E13E25">
      <w:pPr>
        <w:ind w:left="144" w:right="91"/>
      </w:pPr>
      <w:r>
        <w:rPr>
          <w:rFonts w:ascii="Times New Roman" w:eastAsia="Times New Roman" w:hAnsi="Times New Roman" w:cs="Times New Roman"/>
        </w:rPr>
        <w:lastRenderedPageBreak/>
        <w:t xml:space="preserve"> </w:t>
      </w:r>
      <w:proofErr w:type="spellStart"/>
      <w:r>
        <w:rPr>
          <w:i/>
        </w:rPr>
        <w:t>ac</w:t>
      </w:r>
      <w:proofErr w:type="spellEnd"/>
      <w:r>
        <w:rPr>
          <w:i/>
        </w:rPr>
        <w:t xml:space="preserve">) </w:t>
      </w:r>
      <w:r>
        <w:t xml:space="preserve">nem gazdasági célú vízigény; </w:t>
      </w:r>
    </w:p>
    <w:p w:rsidR="00025D16" w:rsidRDefault="00E13E25" w:rsidP="00025D16">
      <w:pPr>
        <w:spacing w:after="0" w:line="259" w:lineRule="auto"/>
        <w:ind w:left="139"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B82BF3" w:rsidRDefault="00E13E25" w:rsidP="00025D16">
      <w:pPr>
        <w:spacing w:after="0" w:line="259" w:lineRule="auto"/>
        <w:jc w:val="left"/>
      </w:pPr>
      <w:r>
        <w:rPr>
          <w:i/>
        </w:rPr>
        <w:t>b)</w:t>
      </w:r>
      <w:r>
        <w:rPr>
          <w:rFonts w:ascii="Arial" w:eastAsia="Arial" w:hAnsi="Arial" w:cs="Arial"/>
          <w:i/>
        </w:rPr>
        <w:t xml:space="preserve"> </w:t>
      </w:r>
      <w:r>
        <w:t xml:space="preserve">az </w:t>
      </w:r>
      <w:r>
        <w:rPr>
          <w:i/>
        </w:rPr>
        <w:t>ab)</w:t>
      </w:r>
      <w:r>
        <w:t xml:space="preserve"> pontban szereplő házi ivóvízigény kielégítését szolgáló kúthoz tartozó, víztisztítási feladatokat ellátó vízilétesítmény létesítéséhez, üzemeltetéséhez, fennmaradásához és megszüntetéséhez.</w:t>
      </w:r>
      <w:r>
        <w:rPr>
          <w:i/>
        </w:rPr>
        <w:t xml:space="preserve"> </w:t>
      </w:r>
    </w:p>
    <w:p w:rsidR="00B82BF3" w:rsidRDefault="00E13E25">
      <w:pPr>
        <w:spacing w:after="0" w:line="259" w:lineRule="auto"/>
        <w:ind w:left="142" w:firstLine="0"/>
        <w:jc w:val="left"/>
      </w:pPr>
      <w:r>
        <w:rPr>
          <w:rFonts w:ascii="Times New Roman" w:eastAsia="Times New Roman" w:hAnsi="Times New Roman" w:cs="Times New Roman"/>
          <w:sz w:val="20"/>
        </w:rPr>
        <w:t xml:space="preserve"> </w:t>
      </w:r>
    </w:p>
    <w:p w:rsidR="00B82BF3" w:rsidRDefault="00E13E25">
      <w:pPr>
        <w:ind w:left="144" w:right="1"/>
      </w:pPr>
      <w:r>
        <w:rPr>
          <w:b/>
          <w:u w:val="single" w:color="000000"/>
        </w:rPr>
        <w:t>Vagyis a jegyző adja ki az engedélyt akkor</w:t>
      </w:r>
      <w:r>
        <w:rPr>
          <w:u w:val="single" w:color="000000"/>
        </w:rPr>
        <w:t>,</w:t>
      </w:r>
      <w:r>
        <w:rPr>
          <w:b/>
        </w:rPr>
        <w:t xml:space="preserve"> </w:t>
      </w:r>
      <w:r>
        <w:t>ha a kút nem érint karszt- vagy rétegvizet, 500</w:t>
      </w:r>
      <w:r>
        <w:rPr>
          <w:b/>
        </w:rPr>
        <w:t xml:space="preserve"> </w:t>
      </w:r>
      <w:r>
        <w:t>m</w:t>
      </w:r>
      <w:r>
        <w:rPr>
          <w:vertAlign w:val="superscript"/>
        </w:rPr>
        <w:t>3</w:t>
      </w:r>
      <w:r>
        <w:t xml:space="preserve">/év vízigénybevétel alatti, a kút épülettel rendelkező ingatlanon van, magánszemély a kérelmező, a kút házi ivóvízigény és a háztartási igények kielégítését szolgálja és a kút nem gazdasági célú vízigényt szolgál. </w:t>
      </w:r>
    </w:p>
    <w:p w:rsidR="00B82BF3" w:rsidRDefault="00E13E25">
      <w:pPr>
        <w:spacing w:after="0" w:line="259" w:lineRule="auto"/>
        <w:ind w:left="142" w:firstLine="0"/>
        <w:jc w:val="left"/>
      </w:pPr>
      <w:r>
        <w:rPr>
          <w:rFonts w:ascii="Times New Roman" w:eastAsia="Times New Roman" w:hAnsi="Times New Roman" w:cs="Times New Roman"/>
          <w:sz w:val="20"/>
        </w:rPr>
        <w:t xml:space="preserve"> </w:t>
      </w:r>
    </w:p>
    <w:p w:rsidR="00B82BF3" w:rsidRDefault="00E13E25">
      <w:pPr>
        <w:ind w:left="144"/>
      </w:pPr>
      <w:r>
        <w:t xml:space="preserve">A háztartási igény fogalmát és a gazdasági célú vízigény fogalmát a jogszabályok pontosan nem határozzák meg, azonban a jogszabályi rendelkezésekből az következik, hogy a háztartási igény minden az ivóvíz biztosításán túli a saját háztartás kielégítését szolgáló vízhasználat, míg az ezt meghaladó gazdasági érdekeltség körébe sorolható vízhasználat (vagyis olyan tevékenységhez kapcsolódik, aminek a célja a haszonszerzés) az már gazdasági célú vízigény. </w:t>
      </w:r>
    </w:p>
    <w:p w:rsidR="00B82BF3" w:rsidRDefault="00E13E25">
      <w:pPr>
        <w:spacing w:after="0" w:line="259" w:lineRule="auto"/>
        <w:ind w:left="142" w:firstLine="0"/>
        <w:jc w:val="left"/>
      </w:pPr>
      <w:r>
        <w:rPr>
          <w:rFonts w:ascii="Times New Roman" w:eastAsia="Times New Roman" w:hAnsi="Times New Roman" w:cs="Times New Roman"/>
          <w:sz w:val="20"/>
        </w:rPr>
        <w:t xml:space="preserve"> </w:t>
      </w:r>
    </w:p>
    <w:p w:rsidR="00B82BF3" w:rsidRDefault="00E13E25">
      <w:pPr>
        <w:ind w:left="144" w:right="2"/>
      </w:pPr>
      <w:r>
        <w:t xml:space="preserve">Mint az látható jelenleg a szabály egyaránt vonatkozik fúrt és ásott kutakra is, független attól, hogy csak háztartási igényekre (mosás, saját kert locsolása stb.) használják vagy ivóvíznek is, és nem számít az sem, hogy milyen mélyre nyúlik le. </w:t>
      </w:r>
    </w:p>
    <w:p w:rsidR="00B82BF3" w:rsidRDefault="00E13E25">
      <w:pPr>
        <w:spacing w:after="0" w:line="259" w:lineRule="auto"/>
        <w:ind w:left="142" w:firstLine="0"/>
        <w:jc w:val="left"/>
      </w:pPr>
      <w:r>
        <w:rPr>
          <w:rFonts w:ascii="Times New Roman" w:eastAsia="Times New Roman" w:hAnsi="Times New Roman" w:cs="Times New Roman"/>
          <w:sz w:val="20"/>
        </w:rPr>
        <w:t xml:space="preserve"> </w:t>
      </w:r>
    </w:p>
    <w:p w:rsidR="00B82BF3" w:rsidRDefault="00E13E25">
      <w:pPr>
        <w:ind w:left="144" w:right="23"/>
      </w:pPr>
      <w:r>
        <w:t xml:space="preserve">A fentiektől eltérő minden más esetben, vagyis, ha az előző feltételek közül akárcsak egy nem teljesül, akkor nem a jegyző, hanem a katasztrófavédelmi igazgatóság hatáskörébe tartozik a kút fennmaradási engedélyezési eljárása! </w:t>
      </w:r>
    </w:p>
    <w:p w:rsidR="00B82BF3" w:rsidRDefault="00E13E25">
      <w:pPr>
        <w:spacing w:after="0" w:line="259" w:lineRule="auto"/>
        <w:ind w:left="142" w:firstLine="0"/>
        <w:jc w:val="left"/>
      </w:pPr>
      <w:r>
        <w:rPr>
          <w:rFonts w:ascii="Times New Roman" w:eastAsia="Times New Roman" w:hAnsi="Times New Roman" w:cs="Times New Roman"/>
          <w:sz w:val="20"/>
        </w:rPr>
        <w:t xml:space="preserve"> </w:t>
      </w:r>
    </w:p>
    <w:p w:rsidR="00B82BF3" w:rsidRDefault="00E13E25">
      <w:pPr>
        <w:spacing w:after="0" w:line="259" w:lineRule="auto"/>
        <w:ind w:left="142" w:firstLine="0"/>
        <w:jc w:val="left"/>
      </w:pPr>
      <w:r>
        <w:rPr>
          <w:rFonts w:ascii="Times New Roman" w:eastAsia="Times New Roman" w:hAnsi="Times New Roman" w:cs="Times New Roman"/>
          <w:sz w:val="20"/>
        </w:rPr>
        <w:t xml:space="preserve"> </w:t>
      </w:r>
    </w:p>
    <w:p w:rsidR="00B82BF3" w:rsidRDefault="00E13E25">
      <w:pPr>
        <w:pStyle w:val="Cmsor1"/>
        <w:numPr>
          <w:ilvl w:val="0"/>
          <w:numId w:val="0"/>
        </w:numPr>
        <w:ind w:left="132"/>
      </w:pPr>
      <w:r>
        <w:t xml:space="preserve">Vízjogi fennmaradási engedélyezési eljárás </w:t>
      </w:r>
    </w:p>
    <w:p w:rsidR="00B82BF3" w:rsidRDefault="00E13E25">
      <w:pPr>
        <w:spacing w:after="0" w:line="259" w:lineRule="auto"/>
        <w:ind w:left="142" w:firstLine="0"/>
        <w:jc w:val="left"/>
      </w:pPr>
      <w:r>
        <w:rPr>
          <w:rFonts w:ascii="Times New Roman" w:eastAsia="Times New Roman" w:hAnsi="Times New Roman" w:cs="Times New Roman"/>
          <w:sz w:val="20"/>
        </w:rPr>
        <w:t xml:space="preserve"> </w:t>
      </w:r>
    </w:p>
    <w:p w:rsidR="00B82BF3" w:rsidRDefault="00E13E25">
      <w:pPr>
        <w:spacing w:after="75" w:line="259" w:lineRule="auto"/>
        <w:ind w:left="141"/>
      </w:pPr>
      <w:r>
        <w:rPr>
          <w:sz w:val="23"/>
        </w:rPr>
        <w:t xml:space="preserve">A fennmaradási engedélyezési eljárás iránti kérelem benyújtása előtt tervdokumentációt kell készíttetni a vízjogi engedélyezési eljáráshoz szükséges dokumentáció tartalmáról szóló 41/2017. (XII. 29.) BM rendelet (a továbbiakban: BM rendelet) szerint. A fennmaradási engedélyezési eljárás iránti kérelemnek tartalmazni kell a BM rendelet által előírt adatokat, amelyek a </w:t>
      </w:r>
      <w:proofErr w:type="spellStart"/>
      <w:r>
        <w:rPr>
          <w:sz w:val="23"/>
        </w:rPr>
        <w:t>következőek</w:t>
      </w:r>
      <w:proofErr w:type="spellEnd"/>
      <w:r>
        <w:rPr>
          <w:sz w:val="23"/>
        </w:rPr>
        <w:t xml:space="preserve">: </w:t>
      </w:r>
    </w:p>
    <w:p w:rsidR="00B82BF3" w:rsidRDefault="00E13E25">
      <w:pPr>
        <w:spacing w:after="67" w:line="259" w:lineRule="auto"/>
        <w:ind w:left="142" w:firstLine="0"/>
        <w:jc w:val="left"/>
      </w:pPr>
      <w:r>
        <w:rPr>
          <w:rFonts w:ascii="Times New Roman" w:eastAsia="Times New Roman" w:hAnsi="Times New Roman" w:cs="Times New Roman"/>
          <w:b/>
          <w:sz w:val="20"/>
          <w:u w:val="single" w:color="000000"/>
        </w:rPr>
        <w:t>2. Melléklet</w:t>
      </w:r>
      <w:r>
        <w:rPr>
          <w:rFonts w:ascii="Times New Roman" w:eastAsia="Times New Roman" w:hAnsi="Times New Roman" w:cs="Times New Roman"/>
          <w:b/>
          <w:sz w:val="20"/>
        </w:rPr>
        <w:t xml:space="preserve"> </w:t>
      </w:r>
    </w:p>
    <w:p w:rsidR="00B82BF3" w:rsidRDefault="00E13E25">
      <w:pPr>
        <w:pStyle w:val="Cmsor1"/>
        <w:spacing w:after="50" w:line="267" w:lineRule="auto"/>
        <w:ind w:left="144" w:right="84"/>
        <w:jc w:val="both"/>
      </w:pPr>
      <w:r>
        <w:t xml:space="preserve">A helyi vízgazdálkodási hatósági jogkörbe tartozó kutak vízjogi üzemeltetési </w:t>
      </w:r>
      <w:proofErr w:type="gramStart"/>
      <w:r>
        <w:t xml:space="preserve">és </w:t>
      </w:r>
      <w:r>
        <w:rPr>
          <w:rFonts w:ascii="Times New Roman" w:eastAsia="Times New Roman" w:hAnsi="Times New Roman" w:cs="Times New Roman"/>
          <w:b w:val="0"/>
          <w:sz w:val="31"/>
          <w:vertAlign w:val="subscript"/>
        </w:rPr>
        <w:t xml:space="preserve"> </w:t>
      </w:r>
      <w:r>
        <w:t>fennmaradási</w:t>
      </w:r>
      <w:proofErr w:type="gramEnd"/>
      <w:r>
        <w:t xml:space="preserve"> engedélyezési eljáráshoz szükséges dokumentáció tartalma </w:t>
      </w:r>
    </w:p>
    <w:p w:rsidR="00B82BF3" w:rsidRDefault="00E13E25">
      <w:pPr>
        <w:numPr>
          <w:ilvl w:val="0"/>
          <w:numId w:val="1"/>
        </w:numPr>
        <w:ind w:right="91" w:hanging="415"/>
      </w:pPr>
      <w:r>
        <w:t xml:space="preserve">Kérelmező neve, állandó lakhelye, anyja neve, születési helye, ideje. </w:t>
      </w:r>
    </w:p>
    <w:p w:rsidR="00B82BF3" w:rsidRDefault="00E13E25">
      <w:pPr>
        <w:numPr>
          <w:ilvl w:val="0"/>
          <w:numId w:val="1"/>
        </w:numPr>
        <w:spacing w:line="216" w:lineRule="auto"/>
        <w:ind w:right="91" w:hanging="415"/>
      </w:pPr>
      <w:r>
        <w:t xml:space="preserve">A vízjogi létesítési engedély száma, kelte, kiállító hatóság </w:t>
      </w:r>
      <w:r>
        <w:rPr>
          <w:u w:val="single" w:color="000000"/>
        </w:rPr>
        <w:t xml:space="preserve">(fennmaradási </w:t>
      </w:r>
      <w:proofErr w:type="gramStart"/>
      <w:r>
        <w:rPr>
          <w:u w:val="single" w:color="000000"/>
        </w:rPr>
        <w:t>engedélykérelem</w:t>
      </w:r>
      <w:r>
        <w:t xml:space="preserve"> </w:t>
      </w:r>
      <w:r>
        <w:rPr>
          <w:sz w:val="37"/>
          <w:vertAlign w:val="subscript"/>
        </w:rPr>
        <w:t xml:space="preserve"> </w:t>
      </w:r>
      <w:r>
        <w:rPr>
          <w:sz w:val="37"/>
          <w:vertAlign w:val="subscript"/>
        </w:rPr>
        <w:tab/>
      </w:r>
      <w:proofErr w:type="gramEnd"/>
      <w:r>
        <w:rPr>
          <w:u w:val="single" w:color="000000"/>
        </w:rPr>
        <w:t>esetén nem kell kitölteni)</w:t>
      </w:r>
      <w:r>
        <w:t xml:space="preserve">. </w:t>
      </w:r>
    </w:p>
    <w:p w:rsidR="00B82BF3" w:rsidRDefault="00E13E25">
      <w:pPr>
        <w:numPr>
          <w:ilvl w:val="0"/>
          <w:numId w:val="1"/>
        </w:numPr>
        <w:spacing w:line="216" w:lineRule="auto"/>
        <w:ind w:right="91" w:hanging="415"/>
      </w:pPr>
      <w:r>
        <w:t xml:space="preserve">A kút helye: irányítószám, település, közterület jellege, házszáma, helyrajzi száma, </w:t>
      </w:r>
      <w:proofErr w:type="gramStart"/>
      <w:r>
        <w:t xml:space="preserve">koordináták </w:t>
      </w:r>
      <w:r>
        <w:rPr>
          <w:sz w:val="37"/>
          <w:vertAlign w:val="subscript"/>
        </w:rPr>
        <w:t xml:space="preserve"> </w:t>
      </w:r>
      <w:r>
        <w:rPr>
          <w:sz w:val="37"/>
          <w:vertAlign w:val="subscript"/>
        </w:rPr>
        <w:tab/>
      </w:r>
      <w:proofErr w:type="gramEnd"/>
      <w:r>
        <w:t>(földrajzi vagy EOV), terepszint (</w:t>
      </w:r>
      <w:proofErr w:type="spellStart"/>
      <w:r>
        <w:t>mBf</w:t>
      </w:r>
      <w:proofErr w:type="spellEnd"/>
      <w:r>
        <w:t xml:space="preserve">). </w:t>
      </w:r>
    </w:p>
    <w:p w:rsidR="00B82BF3" w:rsidRDefault="00E13E25">
      <w:pPr>
        <w:numPr>
          <w:ilvl w:val="0"/>
          <w:numId w:val="1"/>
        </w:numPr>
        <w:spacing w:after="103"/>
        <w:ind w:right="91" w:hanging="415"/>
      </w:pPr>
      <w:r>
        <w:t xml:space="preserve">A vízhasználat célja: háztartási vízigény, házi ivóvízigény. </w:t>
      </w:r>
    </w:p>
    <w:p w:rsidR="00B82BF3" w:rsidRDefault="00E13E25">
      <w:pPr>
        <w:numPr>
          <w:ilvl w:val="0"/>
          <w:numId w:val="1"/>
        </w:numPr>
        <w:spacing w:after="80" w:line="244" w:lineRule="auto"/>
        <w:ind w:right="91" w:hanging="415"/>
      </w:pPr>
      <w:r>
        <w:t xml:space="preserve">Ivóvízcélú felhasználás esetén a vizek hasznosítását, védelmét és kártételeinek elhárítását szolgáló tevékenységekre és létesítményekre vonatkozó általános szabályokról szóló 147/2010. (IV. 29.) Korm. rendelet szerinti vízminőség-vizsgálat eredménye. </w:t>
      </w:r>
    </w:p>
    <w:p w:rsidR="00B82BF3" w:rsidRDefault="00E13E25">
      <w:pPr>
        <w:numPr>
          <w:ilvl w:val="0"/>
          <w:numId w:val="1"/>
        </w:numPr>
        <w:spacing w:after="0" w:line="259" w:lineRule="auto"/>
        <w:ind w:right="91" w:hanging="415"/>
      </w:pPr>
      <w:r>
        <w:rPr>
          <w:u w:val="single" w:color="000000"/>
        </w:rPr>
        <w:t>A kút műszaki adatai:</w:t>
      </w:r>
      <w:r>
        <w:t xml:space="preserve"> </w:t>
      </w:r>
    </w:p>
    <w:p w:rsidR="00B82BF3" w:rsidRDefault="00E13E25">
      <w:pPr>
        <w:spacing w:after="2143"/>
        <w:ind w:left="144" w:right="252"/>
      </w:pPr>
      <w:r>
        <w:rPr>
          <w:rFonts w:ascii="Times New Roman" w:eastAsia="Times New Roman" w:hAnsi="Times New Roman" w:cs="Times New Roman"/>
          <w:sz w:val="31"/>
          <w:vertAlign w:val="subscript"/>
        </w:rPr>
        <w:t xml:space="preserve"> </w:t>
      </w:r>
      <w:r>
        <w:t xml:space="preserve">6.1. talpmélység (terepszint alatt, méterben), nyugalmi vízszint (terepszint alatt, méterben); 6.2. csak fúrt kút esetében: </w:t>
      </w:r>
    </w:p>
    <w:p w:rsidR="00B82BF3" w:rsidRDefault="00E13E25">
      <w:pPr>
        <w:spacing w:after="121" w:line="259" w:lineRule="auto"/>
        <w:ind w:left="10" w:right="4"/>
        <w:jc w:val="right"/>
      </w:pPr>
      <w:r>
        <w:rPr>
          <w:rFonts w:ascii="Calibri" w:eastAsia="Calibri" w:hAnsi="Calibri" w:cs="Calibri"/>
          <w:sz w:val="20"/>
        </w:rPr>
        <w:lastRenderedPageBreak/>
        <w:t xml:space="preserve">2 </w:t>
      </w:r>
    </w:p>
    <w:p w:rsidR="00B82BF3" w:rsidRDefault="00E13E25">
      <w:pPr>
        <w:ind w:left="144" w:right="91"/>
      </w:pPr>
      <w:r>
        <w:rPr>
          <w:rFonts w:ascii="Times New Roman" w:eastAsia="Times New Roman" w:hAnsi="Times New Roman" w:cs="Times New Roman"/>
          <w:sz w:val="31"/>
          <w:vertAlign w:val="subscript"/>
        </w:rPr>
        <w:t xml:space="preserve"> </w:t>
      </w:r>
      <w:r>
        <w:t xml:space="preserve">6.2.1. iránycső </w:t>
      </w:r>
      <w:proofErr w:type="spellStart"/>
      <w:r>
        <w:t>anyaga</w:t>
      </w:r>
      <w:proofErr w:type="spellEnd"/>
      <w:r>
        <w:t xml:space="preserve">, átmérője, rakathossz, </w:t>
      </w:r>
    </w:p>
    <w:p w:rsidR="00B82BF3" w:rsidRDefault="00E13E25">
      <w:pPr>
        <w:tabs>
          <w:tab w:val="center" w:pos="2616"/>
        </w:tabs>
        <w:spacing w:after="0" w:line="259" w:lineRule="auto"/>
        <w:ind w:left="0" w:firstLine="0"/>
        <w:jc w:val="left"/>
      </w:pPr>
      <w:r>
        <w:rPr>
          <w:rFonts w:ascii="Times New Roman" w:eastAsia="Times New Roman" w:hAnsi="Times New Roman" w:cs="Times New Roman"/>
          <w:sz w:val="31"/>
          <w:vertAlign w:val="subscript"/>
        </w:rPr>
        <w:t xml:space="preserve"> </w:t>
      </w:r>
      <w:r>
        <w:t>6.2.2.</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3"/>
        </w:rPr>
        <w:t xml:space="preserve">csövezett </w:t>
      </w:r>
      <w:proofErr w:type="spellStart"/>
      <w:r>
        <w:rPr>
          <w:sz w:val="23"/>
        </w:rPr>
        <w:t>anyaga</w:t>
      </w:r>
      <w:proofErr w:type="spellEnd"/>
      <w:r>
        <w:rPr>
          <w:sz w:val="23"/>
        </w:rPr>
        <w:t xml:space="preserve">, átmérője, rakathossz, </w:t>
      </w:r>
    </w:p>
    <w:p w:rsidR="00B82BF3" w:rsidRDefault="00E13E25">
      <w:pPr>
        <w:tabs>
          <w:tab w:val="center" w:pos="3538"/>
        </w:tabs>
        <w:spacing w:after="0" w:line="259" w:lineRule="auto"/>
        <w:ind w:left="0" w:firstLine="0"/>
        <w:jc w:val="left"/>
      </w:pPr>
      <w:r>
        <w:rPr>
          <w:rFonts w:ascii="Times New Roman" w:eastAsia="Times New Roman" w:hAnsi="Times New Roman" w:cs="Times New Roman"/>
          <w:sz w:val="31"/>
          <w:vertAlign w:val="subscript"/>
        </w:rPr>
        <w:t xml:space="preserve"> </w:t>
      </w:r>
      <w:r>
        <w:t>6.2.3.</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rPr>
          <w:sz w:val="23"/>
        </w:rPr>
        <w:t>szűrőzött</w:t>
      </w:r>
      <w:proofErr w:type="spellEnd"/>
      <w:r>
        <w:rPr>
          <w:sz w:val="23"/>
        </w:rPr>
        <w:t xml:space="preserve"> szakasz mélységköze, átmérője, kialakítása, típusa, </w:t>
      </w:r>
    </w:p>
    <w:p w:rsidR="00B82BF3" w:rsidRDefault="00E13E25">
      <w:pPr>
        <w:spacing w:after="51"/>
        <w:ind w:left="144" w:right="91"/>
      </w:pPr>
      <w:r>
        <w:t xml:space="preserve">6.2.4. csak ásott kút esetében: kútfalazat </w:t>
      </w:r>
      <w:proofErr w:type="spellStart"/>
      <w:r>
        <w:t>anyaga</w:t>
      </w:r>
      <w:proofErr w:type="spellEnd"/>
      <w:r>
        <w:t xml:space="preserve">, átmérője (mm/mm), helye (m-m); </w:t>
      </w:r>
      <w:proofErr w:type="gramStart"/>
      <w:r>
        <w:t xml:space="preserve">vízbeáramlás </w:t>
      </w:r>
      <w:r>
        <w:rPr>
          <w:rFonts w:ascii="Times New Roman" w:eastAsia="Times New Roman" w:hAnsi="Times New Roman" w:cs="Times New Roman"/>
          <w:sz w:val="20"/>
        </w:rPr>
        <w:t xml:space="preserve"> </w:t>
      </w:r>
      <w:r>
        <w:t>helye</w:t>
      </w:r>
      <w:proofErr w:type="gramEnd"/>
      <w:r>
        <w:t xml:space="preserve"> (nyitott kúttalp, nyitott falazat, helye (m-m). </w:t>
      </w:r>
    </w:p>
    <w:p w:rsidR="00B82BF3" w:rsidRDefault="00E13E25">
      <w:pPr>
        <w:numPr>
          <w:ilvl w:val="1"/>
          <w:numId w:val="2"/>
        </w:numPr>
        <w:spacing w:after="0" w:line="259" w:lineRule="auto"/>
        <w:ind w:hanging="660"/>
      </w:pPr>
      <w:r>
        <w:rPr>
          <w:sz w:val="23"/>
        </w:rPr>
        <w:t xml:space="preserve">A kút-felsőrész kialakítása (fúrt kút esetében): akna, kútház, kútszekrény, kútsapka. </w:t>
      </w:r>
    </w:p>
    <w:p w:rsidR="00B82BF3" w:rsidRDefault="00E13E25">
      <w:pPr>
        <w:numPr>
          <w:ilvl w:val="1"/>
          <w:numId w:val="2"/>
        </w:numPr>
        <w:spacing w:after="0" w:line="259" w:lineRule="auto"/>
        <w:ind w:hanging="660"/>
      </w:pPr>
      <w:r>
        <w:rPr>
          <w:sz w:val="23"/>
        </w:rPr>
        <w:t xml:space="preserve">A kút lezárása ásott kút esetében: </w:t>
      </w:r>
      <w:proofErr w:type="spellStart"/>
      <w:r>
        <w:rPr>
          <w:sz w:val="23"/>
        </w:rPr>
        <w:t>fedlap</w:t>
      </w:r>
      <w:proofErr w:type="spellEnd"/>
      <w:r>
        <w:rPr>
          <w:sz w:val="23"/>
        </w:rPr>
        <w:t xml:space="preserve">, </w:t>
      </w:r>
      <w:proofErr w:type="spellStart"/>
      <w:r>
        <w:rPr>
          <w:sz w:val="23"/>
        </w:rPr>
        <w:t>anyaga</w:t>
      </w:r>
      <w:proofErr w:type="spellEnd"/>
      <w:r>
        <w:rPr>
          <w:sz w:val="23"/>
        </w:rPr>
        <w:t xml:space="preserve">. </w:t>
      </w:r>
    </w:p>
    <w:p w:rsidR="00B82BF3" w:rsidRDefault="00E13E25">
      <w:pPr>
        <w:numPr>
          <w:ilvl w:val="1"/>
          <w:numId w:val="2"/>
        </w:numPr>
        <w:ind w:hanging="660"/>
      </w:pPr>
      <w:r>
        <w:t xml:space="preserve">A vízkitermelés módja: kézi vagy gépi. </w:t>
      </w:r>
    </w:p>
    <w:p w:rsidR="00B82BF3" w:rsidRDefault="00E13E25">
      <w:pPr>
        <w:numPr>
          <w:ilvl w:val="1"/>
          <w:numId w:val="2"/>
        </w:numPr>
        <w:ind w:hanging="660"/>
      </w:pPr>
      <w:r>
        <w:t xml:space="preserve">A használat során keletkező szennyvíz mennyisége, elhelyezése. </w:t>
      </w:r>
    </w:p>
    <w:p w:rsidR="00B82BF3" w:rsidRDefault="00E13E25">
      <w:pPr>
        <w:numPr>
          <w:ilvl w:val="1"/>
          <w:numId w:val="2"/>
        </w:numPr>
        <w:spacing w:after="0" w:line="259" w:lineRule="auto"/>
        <w:ind w:hanging="660"/>
      </w:pPr>
      <w:r>
        <w:rPr>
          <w:sz w:val="23"/>
        </w:rPr>
        <w:t xml:space="preserve">Fényképfelvétel a kútról és környezetéről. </w:t>
      </w:r>
    </w:p>
    <w:p w:rsidR="00B82BF3" w:rsidRDefault="00E13E25">
      <w:pPr>
        <w:numPr>
          <w:ilvl w:val="1"/>
          <w:numId w:val="2"/>
        </w:numPr>
        <w:spacing w:after="0" w:line="259" w:lineRule="auto"/>
        <w:ind w:hanging="660"/>
      </w:pPr>
      <w:r>
        <w:rPr>
          <w:sz w:val="23"/>
        </w:rPr>
        <w:t xml:space="preserve">Fúrt kút esetében a </w:t>
      </w:r>
      <w:proofErr w:type="spellStart"/>
      <w:r>
        <w:rPr>
          <w:sz w:val="23"/>
        </w:rPr>
        <w:t>kútr</w:t>
      </w:r>
      <w:proofErr w:type="spellEnd"/>
      <w:r>
        <w:rPr>
          <w:sz w:val="23"/>
        </w:rPr>
        <w:t xml:space="preserve">. 13. § (2) bekezdésének való megfelelés igazolása. </w:t>
      </w:r>
    </w:p>
    <w:p w:rsidR="00B82BF3" w:rsidRDefault="00E13E25">
      <w:pPr>
        <w:numPr>
          <w:ilvl w:val="1"/>
          <w:numId w:val="2"/>
        </w:numPr>
        <w:ind w:hanging="660"/>
      </w:pPr>
      <w:r>
        <w:rPr>
          <w:u w:val="single" w:color="000000"/>
        </w:rPr>
        <w:t xml:space="preserve">Nyilatkozat </w:t>
      </w:r>
      <w:r>
        <w:t>(</w:t>
      </w:r>
      <w:r>
        <w:rPr>
          <w:u w:val="single" w:color="000000"/>
        </w:rPr>
        <w:t xml:space="preserve">aláírja a tulajdonos, </w:t>
      </w:r>
      <w:r>
        <w:t xml:space="preserve">fúrt kút esetében a jogosultsággal rendelkező kivitelező is; </w:t>
      </w:r>
      <w:r>
        <w:rPr>
          <w:u w:val="single" w:color="000000"/>
        </w:rPr>
        <w:t xml:space="preserve">fennmaradási engedély kérelem esetében a </w:t>
      </w:r>
      <w:proofErr w:type="spellStart"/>
      <w:r>
        <w:rPr>
          <w:u w:val="single" w:color="000000"/>
        </w:rPr>
        <w:t>kútr</w:t>
      </w:r>
      <w:proofErr w:type="spellEnd"/>
      <w:r>
        <w:rPr>
          <w:u w:val="single" w:color="000000"/>
        </w:rPr>
        <w:t>. 13. §-ban</w:t>
      </w:r>
      <w:r>
        <w:rPr>
          <w:vertAlign w:val="superscript"/>
        </w:rPr>
        <w:t>2</w:t>
      </w:r>
      <w:r>
        <w:t xml:space="preserve"> </w:t>
      </w:r>
      <w:r>
        <w:rPr>
          <w:u w:val="single" w:color="000000"/>
        </w:rPr>
        <w:t>megjelölt szakember</w:t>
      </w:r>
      <w:r>
        <w:t xml:space="preserve">: a közölt adatok a valóságnak megfelelnek, a kút úgy került kialakításra, hogy abba a felszínről szennyeződés vagy csapadékvíz nem kerülhet). </w:t>
      </w:r>
    </w:p>
    <w:p w:rsidR="00B82BF3" w:rsidRDefault="00E13E25">
      <w:pPr>
        <w:spacing w:after="0" w:line="216" w:lineRule="auto"/>
        <w:ind w:left="139" w:right="9136" w:firstLine="0"/>
        <w:jc w:val="left"/>
      </w:pPr>
      <w:r>
        <w:rPr>
          <w:rFonts w:ascii="Times New Roman" w:eastAsia="Times New Roman" w:hAnsi="Times New Roman" w:cs="Times New Roman"/>
          <w:sz w:val="20"/>
        </w:rPr>
        <w:t xml:space="preserve">  </w:t>
      </w:r>
    </w:p>
    <w:p w:rsidR="00B82BF3" w:rsidRDefault="00E13E25">
      <w:pPr>
        <w:spacing w:after="27" w:line="259" w:lineRule="auto"/>
        <w:ind w:left="139" w:firstLine="0"/>
        <w:jc w:val="left"/>
      </w:pPr>
      <w:r>
        <w:rPr>
          <w:rFonts w:ascii="Times New Roman" w:eastAsia="Times New Roman" w:hAnsi="Times New Roman" w:cs="Times New Roman"/>
          <w:sz w:val="20"/>
        </w:rPr>
        <w:t xml:space="preserve"> </w:t>
      </w:r>
    </w:p>
    <w:p w:rsidR="00B82BF3" w:rsidRDefault="00E13E25">
      <w:pPr>
        <w:spacing w:after="0" w:line="267" w:lineRule="auto"/>
        <w:ind w:left="144" w:right="84"/>
      </w:pPr>
      <w:r>
        <w:rPr>
          <w:rFonts w:ascii="Times New Roman" w:eastAsia="Times New Roman" w:hAnsi="Times New Roman" w:cs="Times New Roman"/>
          <w:sz w:val="31"/>
          <w:vertAlign w:val="subscript"/>
        </w:rPr>
        <w:t xml:space="preserve"> </w:t>
      </w:r>
      <w:r>
        <w:t xml:space="preserve">Az eljárás </w:t>
      </w:r>
      <w:r>
        <w:rPr>
          <w:b/>
        </w:rPr>
        <w:t xml:space="preserve">mentes az igazgatási szolgáltatási díjfizetési kötelezettség alól: </w:t>
      </w:r>
    </w:p>
    <w:p w:rsidR="00B82BF3" w:rsidRDefault="00E13E25">
      <w:pPr>
        <w:spacing w:after="28"/>
        <w:ind w:left="144" w:right="91"/>
      </w:pPr>
      <w:r>
        <w:rPr>
          <w:i/>
        </w:rPr>
        <w:t xml:space="preserve">– </w:t>
      </w:r>
      <w:r>
        <w:t xml:space="preserve">a vízkivételt biztosító vízilétesítmények engedélyezési eljárása 2018. december 31-ig. </w:t>
      </w:r>
    </w:p>
    <w:p w:rsidR="00B82BF3" w:rsidRDefault="00E13E25">
      <w:pPr>
        <w:spacing w:after="56" w:line="259" w:lineRule="auto"/>
        <w:ind w:left="139" w:firstLine="0"/>
        <w:jc w:val="left"/>
      </w:pPr>
      <w:r>
        <w:rPr>
          <w:rFonts w:ascii="Times New Roman" w:eastAsia="Times New Roman" w:hAnsi="Times New Roman" w:cs="Times New Roman"/>
          <w:sz w:val="20"/>
        </w:rPr>
        <w:t xml:space="preserve"> </w:t>
      </w:r>
    </w:p>
    <w:p w:rsidR="00B82BF3" w:rsidRDefault="00E13E25">
      <w:pPr>
        <w:ind w:left="144" w:right="91"/>
      </w:pPr>
      <w:r>
        <w:rPr>
          <w:rFonts w:ascii="Times New Roman" w:eastAsia="Times New Roman" w:hAnsi="Times New Roman" w:cs="Times New Roman"/>
          <w:sz w:val="31"/>
          <w:vertAlign w:val="subscript"/>
        </w:rPr>
        <w:t xml:space="preserve"> </w:t>
      </w:r>
      <w:r>
        <w:t xml:space="preserve">A kérelemhez csatolni kell: </w:t>
      </w:r>
    </w:p>
    <w:p w:rsidR="00B82BF3" w:rsidRDefault="00E13E25">
      <w:pPr>
        <w:numPr>
          <w:ilvl w:val="0"/>
          <w:numId w:val="3"/>
        </w:numPr>
        <w:ind w:right="91" w:hanging="365"/>
      </w:pPr>
      <w:r>
        <w:t xml:space="preserve">a tervdokumentációt </w:t>
      </w:r>
    </w:p>
    <w:p w:rsidR="00B82BF3" w:rsidRDefault="00E13E25">
      <w:pPr>
        <w:numPr>
          <w:ilvl w:val="0"/>
          <w:numId w:val="3"/>
        </w:numPr>
        <w:ind w:right="91" w:hanging="365"/>
      </w:pPr>
      <w:r>
        <w:t xml:space="preserve">ha az érintett ingatlan (amin a kút van) nem a kérelmező tulajdonában van, akkor a tulajdonosnak a tervezett vízilétesítmény tulajdonjogát is megjelölő, az </w:t>
      </w:r>
    </w:p>
    <w:p w:rsidR="00B82BF3" w:rsidRDefault="00E13E25">
      <w:pPr>
        <w:tabs>
          <w:tab w:val="center" w:pos="4780"/>
        </w:tabs>
        <w:ind w:lef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ingatlanhasználattal járó jogokat és kötelezettségeket rögzítő – írásbeli hozzájárulását </w:t>
      </w:r>
    </w:p>
    <w:p w:rsidR="00B82BF3" w:rsidRDefault="00E13E25">
      <w:pPr>
        <w:spacing w:after="34" w:line="259" w:lineRule="auto"/>
        <w:ind w:left="139" w:firstLine="0"/>
        <w:jc w:val="left"/>
      </w:pPr>
      <w:r>
        <w:rPr>
          <w:rFonts w:ascii="Times New Roman" w:eastAsia="Times New Roman" w:hAnsi="Times New Roman" w:cs="Times New Roman"/>
          <w:sz w:val="20"/>
        </w:rPr>
        <w:t xml:space="preserve"> </w:t>
      </w:r>
    </w:p>
    <w:p w:rsidR="00B82BF3" w:rsidRDefault="00E13E25">
      <w:pPr>
        <w:spacing w:after="120" w:line="259" w:lineRule="auto"/>
        <w:ind w:left="139" w:firstLine="0"/>
        <w:jc w:val="left"/>
      </w:pPr>
      <w:r>
        <w:rPr>
          <w:rFonts w:ascii="Calibri" w:eastAsia="Calibri" w:hAnsi="Calibri" w:cs="Calibri"/>
          <w:noProof/>
          <w:sz w:val="22"/>
        </w:rPr>
        <mc:AlternateContent>
          <mc:Choice Requires="wpg">
            <w:drawing>
              <wp:inline distT="0" distB="0" distL="0" distR="0">
                <wp:extent cx="1828800" cy="9144"/>
                <wp:effectExtent l="0" t="0" r="0" b="0"/>
                <wp:docPr id="4923" name="Group 4923"/>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70" name="Shape 270"/>
                        <wps:cNvSpPr/>
                        <wps:spPr>
                          <a:xfrm>
                            <a:off x="0" y="0"/>
                            <a:ext cx="1828800" cy="0"/>
                          </a:xfrm>
                          <a:custGeom>
                            <a:avLst/>
                            <a:gdLst/>
                            <a:ahLst/>
                            <a:cxnLst/>
                            <a:rect l="0" t="0" r="0" b="0"/>
                            <a:pathLst>
                              <a:path w="1828800">
                                <a:moveTo>
                                  <a:pt x="0" y="0"/>
                                </a:moveTo>
                                <a:lnTo>
                                  <a:pt x="18288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23" style="width:144pt;height:0.72pt;mso-position-horizontal-relative:char;mso-position-vertical-relative:line" coordsize="18288,91">
                <v:shape id="Shape 270" style="position:absolute;width:18288;height:0;left:0;top:0;" coordsize="1828800,0" path="m0,0l1828800,0">
                  <v:stroke weight="0.72pt" endcap="flat" joinstyle="round" on="true" color="#000000"/>
                  <v:fill on="false" color="#000000" opacity="0"/>
                </v:shape>
              </v:group>
            </w:pict>
          </mc:Fallback>
        </mc:AlternateContent>
      </w:r>
      <w:r>
        <w:rPr>
          <w:rFonts w:ascii="Times New Roman" w:eastAsia="Times New Roman" w:hAnsi="Times New Roman" w:cs="Times New Roman"/>
          <w:sz w:val="20"/>
        </w:rPr>
        <w:t xml:space="preserve"> </w:t>
      </w:r>
    </w:p>
    <w:p w:rsidR="00B82BF3" w:rsidRDefault="00E13E25">
      <w:pPr>
        <w:spacing w:after="8" w:line="259" w:lineRule="auto"/>
        <w:ind w:left="139" w:firstLine="0"/>
        <w:jc w:val="left"/>
      </w:pPr>
      <w:proofErr w:type="gramStart"/>
      <w:r>
        <w:rPr>
          <w:sz w:val="26"/>
          <w:vertAlign w:val="superscript"/>
        </w:rPr>
        <w:t>2</w:t>
      </w:r>
      <w:r>
        <w:rPr>
          <w:sz w:val="17"/>
        </w:rPr>
        <w:t xml:space="preserve"> </w:t>
      </w:r>
      <w:r>
        <w:rPr>
          <w:rFonts w:ascii="Arial" w:eastAsia="Arial" w:hAnsi="Arial" w:cs="Arial"/>
          <w:sz w:val="26"/>
        </w:rPr>
        <w:t xml:space="preserve"> </w:t>
      </w:r>
      <w:r>
        <w:rPr>
          <w:sz w:val="20"/>
        </w:rPr>
        <w:t>101</w:t>
      </w:r>
      <w:proofErr w:type="gramEnd"/>
      <w:r>
        <w:rPr>
          <w:sz w:val="20"/>
        </w:rPr>
        <w:t xml:space="preserve">/2007. (XII.23.) </w:t>
      </w:r>
      <w:proofErr w:type="spellStart"/>
      <w:r>
        <w:rPr>
          <w:sz w:val="20"/>
        </w:rPr>
        <w:t>KvVM</w:t>
      </w:r>
      <w:proofErr w:type="spellEnd"/>
      <w:r>
        <w:rPr>
          <w:sz w:val="20"/>
        </w:rPr>
        <w:t xml:space="preserve"> rendelet</w:t>
      </w:r>
      <w:r>
        <w:rPr>
          <w:sz w:val="26"/>
          <w:vertAlign w:val="superscript"/>
        </w:rPr>
        <w:t xml:space="preserve"> </w:t>
      </w:r>
    </w:p>
    <w:p w:rsidR="00B82BF3" w:rsidRDefault="00E13E25">
      <w:pPr>
        <w:spacing w:after="1" w:line="218" w:lineRule="auto"/>
        <w:ind w:left="129" w:right="93" w:firstLine="177"/>
      </w:pPr>
      <w:r>
        <w:rPr>
          <w:b/>
          <w:sz w:val="20"/>
        </w:rPr>
        <w:t>13.</w:t>
      </w:r>
      <w:r>
        <w:rPr>
          <w:rFonts w:ascii="Arial" w:eastAsia="Arial" w:hAnsi="Arial" w:cs="Arial"/>
          <w:b/>
          <w:sz w:val="20"/>
        </w:rPr>
        <w:t xml:space="preserve"> </w:t>
      </w:r>
      <w:r>
        <w:rPr>
          <w:b/>
          <w:sz w:val="20"/>
        </w:rPr>
        <w:t xml:space="preserve">§ </w:t>
      </w:r>
      <w:r>
        <w:rPr>
          <w:sz w:val="20"/>
        </w:rPr>
        <w:t>(1) Az e rendelet hatálya alá tartozó vízilétesítmények műszaki tervezési feladatait az építésügyi és az</w:t>
      </w:r>
      <w:r>
        <w:rPr>
          <w:b/>
          <w:sz w:val="20"/>
        </w:rPr>
        <w:t xml:space="preserve"> </w:t>
      </w:r>
      <w:r>
        <w:rPr>
          <w:sz w:val="20"/>
        </w:rPr>
        <w:t xml:space="preserve">építésüggyel összefüggő szakmagyakorlási tevékenységekről szóló kormányrendelet szerint </w:t>
      </w:r>
      <w:proofErr w:type="gramStart"/>
      <w:r>
        <w:rPr>
          <w:sz w:val="20"/>
        </w:rPr>
        <w:t xml:space="preserve">jogosultsággal </w:t>
      </w:r>
      <w:r>
        <w:rPr>
          <w:b/>
          <w:sz w:val="31"/>
          <w:vertAlign w:val="subscript"/>
        </w:rPr>
        <w:t xml:space="preserve"> </w:t>
      </w:r>
      <w:r>
        <w:rPr>
          <w:sz w:val="20"/>
        </w:rPr>
        <w:t>rendelkezők</w:t>
      </w:r>
      <w:proofErr w:type="gramEnd"/>
      <w:r>
        <w:rPr>
          <w:sz w:val="20"/>
        </w:rPr>
        <w:t xml:space="preserve"> végezhetnek.</w:t>
      </w:r>
      <w:r>
        <w:rPr>
          <w:b/>
          <w:sz w:val="20"/>
        </w:rPr>
        <w:t xml:space="preserve"> </w:t>
      </w:r>
    </w:p>
    <w:p w:rsidR="00B82BF3" w:rsidRDefault="00E13E25">
      <w:pPr>
        <w:spacing w:after="96" w:line="218" w:lineRule="auto"/>
        <w:ind w:left="129" w:right="93" w:firstLine="0"/>
      </w:pPr>
      <w:r>
        <w:rPr>
          <w:b/>
          <w:sz w:val="20"/>
        </w:rPr>
        <w:t xml:space="preserve"> </w:t>
      </w:r>
      <w:r>
        <w:rPr>
          <w:sz w:val="20"/>
        </w:rPr>
        <w:t xml:space="preserve">(2) Kút kivitelezését – beleértve annak felújítását, javítását és megszüntetését is – az végezheti, aki </w:t>
      </w:r>
    </w:p>
    <w:p w:rsidR="00B82BF3" w:rsidRDefault="00E13E25">
      <w:pPr>
        <w:numPr>
          <w:ilvl w:val="0"/>
          <w:numId w:val="4"/>
        </w:numPr>
        <w:spacing w:after="1" w:line="218" w:lineRule="auto"/>
        <w:ind w:right="93" w:firstLine="177"/>
      </w:pPr>
      <w:r>
        <w:rPr>
          <w:sz w:val="20"/>
        </w:rPr>
        <w:t>az Országos Képzési Jegyzék szerint vízkútfúró szakképesítést szerzett, vagy olyan szakirányú középfokú</w:t>
      </w:r>
      <w:r>
        <w:rPr>
          <w:i/>
          <w:sz w:val="20"/>
        </w:rPr>
        <w:t xml:space="preserve"> </w:t>
      </w:r>
      <w:r>
        <w:rPr>
          <w:sz w:val="20"/>
        </w:rPr>
        <w:t>végzettséggel rendelkezik, amelyhez tartozó tantárgyi képzés és vizsga a kút kivitelezésének elméleti és gyakorlati szinten történő elsajátítását igazolja, vagy szakirányú felsőfokú végzettséggel rendelkezik és kút-</w:t>
      </w:r>
      <w:proofErr w:type="gramStart"/>
      <w:r>
        <w:rPr>
          <w:sz w:val="20"/>
        </w:rPr>
        <w:t xml:space="preserve">kivitelezési </w:t>
      </w:r>
      <w:r>
        <w:rPr>
          <w:b/>
          <w:sz w:val="31"/>
          <w:vertAlign w:val="subscript"/>
        </w:rPr>
        <w:t xml:space="preserve"> </w:t>
      </w:r>
      <w:r>
        <w:rPr>
          <w:sz w:val="20"/>
        </w:rPr>
        <w:t>jogosultsággal</w:t>
      </w:r>
      <w:proofErr w:type="gramEnd"/>
      <w:r>
        <w:rPr>
          <w:sz w:val="20"/>
        </w:rPr>
        <w:t xml:space="preserve"> rendelkező személy az elsajátított kút-kivitelezési gyakorlatot számára igazolja, valamint </w:t>
      </w:r>
    </w:p>
    <w:p w:rsidR="00B82BF3" w:rsidRDefault="00E13E25">
      <w:pPr>
        <w:numPr>
          <w:ilvl w:val="0"/>
          <w:numId w:val="4"/>
        </w:numPr>
        <w:spacing w:after="1" w:line="218" w:lineRule="auto"/>
        <w:ind w:right="93" w:firstLine="177"/>
      </w:pPr>
      <w:r>
        <w:rPr>
          <w:sz w:val="20"/>
        </w:rPr>
        <w:t>a vízkutatási és vízfeltárási célból végzett fúrási, kútépítési, kúttisztítási, kútfelújítási, kútjavítási berendezésre</w:t>
      </w:r>
      <w:r>
        <w:rPr>
          <w:i/>
          <w:sz w:val="20"/>
        </w:rPr>
        <w:t xml:space="preserve"> </w:t>
      </w:r>
      <w:r>
        <w:rPr>
          <w:sz w:val="20"/>
        </w:rPr>
        <w:t xml:space="preserve">vonatkozón a bányafelügyelet által kiadott, a bányafelügyelet műszaki-biztonsági előírásainak való megfelelést tanúsító igazolásával, vagy a gépek biztonsági követelményeiről és megfelelőségének tanúsításáról szóló </w:t>
      </w:r>
      <w:proofErr w:type="gramStart"/>
      <w:r>
        <w:rPr>
          <w:sz w:val="20"/>
        </w:rPr>
        <w:t xml:space="preserve">miniszteri </w:t>
      </w:r>
      <w:r>
        <w:rPr>
          <w:b/>
          <w:sz w:val="31"/>
          <w:vertAlign w:val="subscript"/>
        </w:rPr>
        <w:t xml:space="preserve"> </w:t>
      </w:r>
      <w:r>
        <w:rPr>
          <w:sz w:val="20"/>
        </w:rPr>
        <w:t>rendelet</w:t>
      </w:r>
      <w:proofErr w:type="gramEnd"/>
      <w:r>
        <w:rPr>
          <w:sz w:val="20"/>
        </w:rPr>
        <w:t xml:space="preserve"> szerinti EK megfelelőségi nyilatkozattal rendelkezik. </w:t>
      </w:r>
    </w:p>
    <w:p w:rsidR="00B82BF3" w:rsidRDefault="00E13E25">
      <w:pPr>
        <w:numPr>
          <w:ilvl w:val="0"/>
          <w:numId w:val="5"/>
        </w:numPr>
        <w:spacing w:after="1" w:line="218" w:lineRule="auto"/>
        <w:ind w:right="93" w:firstLine="177"/>
      </w:pPr>
      <w:r>
        <w:rPr>
          <w:sz w:val="20"/>
        </w:rPr>
        <w:t xml:space="preserve">100 m-nél mélyebb talpmélységű kút, továbbá közüzemi vízellátást szolgáló kút kivitelezése geofizikus, geofizikus-mérnök, geológus, geológus-mérnök vagy hidrogeológus, hidrogeológus-mérnök, vagy azzal </w:t>
      </w:r>
      <w:proofErr w:type="gramStart"/>
      <w:r>
        <w:rPr>
          <w:sz w:val="20"/>
        </w:rPr>
        <w:t xml:space="preserve">egyenértékű </w:t>
      </w:r>
      <w:r>
        <w:rPr>
          <w:b/>
          <w:sz w:val="31"/>
          <w:vertAlign w:val="subscript"/>
        </w:rPr>
        <w:t xml:space="preserve"> </w:t>
      </w:r>
      <w:r>
        <w:rPr>
          <w:sz w:val="20"/>
        </w:rPr>
        <w:t>szakképesítéssel</w:t>
      </w:r>
      <w:proofErr w:type="gramEnd"/>
      <w:r>
        <w:rPr>
          <w:sz w:val="20"/>
        </w:rPr>
        <w:t xml:space="preserve"> rendelkező szakember felügyelete mellett végezhető. </w:t>
      </w:r>
    </w:p>
    <w:p w:rsidR="00B82BF3" w:rsidRDefault="00E13E25">
      <w:pPr>
        <w:numPr>
          <w:ilvl w:val="0"/>
          <w:numId w:val="5"/>
        </w:numPr>
        <w:spacing w:after="1" w:line="218" w:lineRule="auto"/>
        <w:ind w:right="93" w:firstLine="177"/>
      </w:pPr>
      <w:r>
        <w:rPr>
          <w:sz w:val="20"/>
        </w:rPr>
        <w:t xml:space="preserve">A kút kivitelezésének részét képező feltáró fúrásokban, illetve kutakban mélyfúrás-geofizikai, illetve kútvizsgálati mérések mérnökgeológus, geofizikus, geofizikus-mérnök, hidrogeológus mérnök, vagy </w:t>
      </w:r>
      <w:proofErr w:type="gramStart"/>
      <w:r>
        <w:rPr>
          <w:sz w:val="20"/>
        </w:rPr>
        <w:t xml:space="preserve">ezekkel </w:t>
      </w:r>
      <w:r>
        <w:rPr>
          <w:b/>
          <w:sz w:val="31"/>
          <w:vertAlign w:val="subscript"/>
        </w:rPr>
        <w:t xml:space="preserve"> </w:t>
      </w:r>
      <w:r>
        <w:rPr>
          <w:sz w:val="20"/>
        </w:rPr>
        <w:t>egyenértékű</w:t>
      </w:r>
      <w:proofErr w:type="gramEnd"/>
      <w:r>
        <w:rPr>
          <w:sz w:val="20"/>
        </w:rPr>
        <w:t xml:space="preserve"> szakképesítéssel rendelkező szakember közreműködésével végezhetők. </w:t>
      </w:r>
    </w:p>
    <w:p w:rsidR="00B82BF3" w:rsidRDefault="00E13E25">
      <w:pPr>
        <w:numPr>
          <w:ilvl w:val="0"/>
          <w:numId w:val="5"/>
        </w:numPr>
        <w:spacing w:after="1" w:line="218" w:lineRule="auto"/>
        <w:ind w:right="93" w:firstLine="177"/>
      </w:pPr>
      <w:r>
        <w:rPr>
          <w:sz w:val="20"/>
        </w:rPr>
        <w:t xml:space="preserve">Mélyfúrás-geofizikai, illetve kútvizsgálati mérések kiértékelését, az összefoglaló szakvéleményt kizárólag geofizikus, geofizikus mérnök, geológus, mérnökgeológus, hidrogeológus vagy hidrogeológus mérnök, vagy ezekkel egyenértékű szakképesítéssel rendelkező szakember készíthet. A vizsgálat jóváhagyását csak legalább </w:t>
      </w:r>
      <w:proofErr w:type="gramStart"/>
      <w:r>
        <w:rPr>
          <w:sz w:val="20"/>
        </w:rPr>
        <w:t xml:space="preserve">ötéves </w:t>
      </w:r>
      <w:r>
        <w:rPr>
          <w:b/>
          <w:sz w:val="31"/>
          <w:vertAlign w:val="subscript"/>
        </w:rPr>
        <w:t xml:space="preserve"> </w:t>
      </w:r>
      <w:r>
        <w:rPr>
          <w:sz w:val="20"/>
        </w:rPr>
        <w:t>mélyfúrás</w:t>
      </w:r>
      <w:proofErr w:type="gramEnd"/>
      <w:r>
        <w:rPr>
          <w:sz w:val="20"/>
        </w:rPr>
        <w:t xml:space="preserve">-geofizikai gyakorlattal rendelkező szakember végezheti el. </w:t>
      </w:r>
    </w:p>
    <w:p w:rsidR="00B82BF3" w:rsidRDefault="00E13E25">
      <w:pPr>
        <w:numPr>
          <w:ilvl w:val="0"/>
          <w:numId w:val="5"/>
        </w:numPr>
        <w:spacing w:after="1222" w:line="218" w:lineRule="auto"/>
        <w:ind w:right="93" w:firstLine="177"/>
      </w:pPr>
      <w:r>
        <w:rPr>
          <w:sz w:val="20"/>
        </w:rPr>
        <w:t xml:space="preserve">A vízföldtani naplót legalább ötéves felszín alatti vízkészlet-gazdálkodási gyakorlattal rendelkező geológus, mérnökgeológus, hidrogeológus vagy hidrogeológus mérnök, vagy ezekkel egyenértékű szakképesítéssel rendelkező szakember készíthet. </w:t>
      </w:r>
    </w:p>
    <w:p w:rsidR="00B82BF3" w:rsidRDefault="00E13E25">
      <w:pPr>
        <w:spacing w:after="121" w:line="259" w:lineRule="auto"/>
        <w:ind w:left="10" w:right="85"/>
        <w:jc w:val="right"/>
      </w:pPr>
      <w:r>
        <w:rPr>
          <w:rFonts w:ascii="Calibri" w:eastAsia="Calibri" w:hAnsi="Calibri" w:cs="Calibri"/>
          <w:sz w:val="20"/>
        </w:rPr>
        <w:lastRenderedPageBreak/>
        <w:t xml:space="preserve">3 </w:t>
      </w:r>
    </w:p>
    <w:p w:rsidR="00B82BF3" w:rsidRDefault="00E13E25">
      <w:pPr>
        <w:spacing w:after="1" w:line="308" w:lineRule="auto"/>
        <w:ind w:left="144" w:right="86"/>
        <w:jc w:val="left"/>
      </w:pPr>
      <w:r>
        <w:rPr>
          <w:i/>
          <w:shd w:val="clear" w:color="auto" w:fill="C0C0C0"/>
        </w:rPr>
        <w:t xml:space="preserve">A fennmaradási engedélyezési eljárás során </w:t>
      </w:r>
      <w:r>
        <w:rPr>
          <w:i/>
          <w:u w:val="single" w:color="000000"/>
          <w:shd w:val="clear" w:color="auto" w:fill="C0C0C0"/>
        </w:rPr>
        <w:t>be kell vonni</w:t>
      </w:r>
      <w:r>
        <w:rPr>
          <w:i/>
          <w:shd w:val="clear" w:color="auto" w:fill="C0C0C0"/>
        </w:rPr>
        <w:t xml:space="preserve"> az illetékes Katasztrófavédelmi Igazgatóságot annak</w:t>
      </w:r>
      <w:r>
        <w:rPr>
          <w:i/>
        </w:rPr>
        <w:t xml:space="preserve"> </w:t>
      </w:r>
      <w:r>
        <w:rPr>
          <w:i/>
          <w:shd w:val="clear" w:color="auto" w:fill="C0C0C0"/>
        </w:rPr>
        <w:t>megállapítására, hogy a kút nem veszélyeztet karszt- vagy rétegvíz készletet.</w:t>
      </w:r>
      <w:r>
        <w:rPr>
          <w:i/>
          <w:color w:val="FF0000"/>
        </w:rPr>
        <w:t xml:space="preserve"> </w:t>
      </w:r>
    </w:p>
    <w:p w:rsidR="00B82BF3" w:rsidRDefault="00E13E25">
      <w:pPr>
        <w:spacing w:after="0" w:line="259" w:lineRule="auto"/>
        <w:ind w:left="144" w:firstLine="0"/>
        <w:jc w:val="left"/>
      </w:pPr>
      <w:r>
        <w:rPr>
          <w:rFonts w:ascii="Times New Roman" w:eastAsia="Times New Roman" w:hAnsi="Times New Roman" w:cs="Times New Roman"/>
          <w:sz w:val="20"/>
        </w:rPr>
        <w:t xml:space="preserve"> </w:t>
      </w:r>
    </w:p>
    <w:p w:rsidR="00B82BF3" w:rsidRDefault="00E13E25">
      <w:pPr>
        <w:spacing w:after="1" w:line="308" w:lineRule="auto"/>
        <w:ind w:left="144" w:right="86"/>
        <w:jc w:val="left"/>
      </w:pPr>
      <w:r>
        <w:rPr>
          <w:i/>
          <w:shd w:val="clear" w:color="auto" w:fill="C0C0C0"/>
        </w:rPr>
        <w:t>Abban az esetben, ha a kérelemben megjelölt kút ivóvízigény is szolgál, akkor szakhatóságként a</w:t>
      </w:r>
      <w:r>
        <w:rPr>
          <w:i/>
        </w:rPr>
        <w:t xml:space="preserve"> </w:t>
      </w:r>
      <w:r>
        <w:rPr>
          <w:i/>
          <w:shd w:val="clear" w:color="auto" w:fill="C0C0C0"/>
        </w:rPr>
        <w:t>kormányhivatal Népegészségügyi Osztályát is be kell vonni.</w:t>
      </w:r>
      <w:r>
        <w:rPr>
          <w:i/>
        </w:rPr>
        <w:t xml:space="preserve"> </w:t>
      </w:r>
    </w:p>
    <w:p w:rsidR="00B82BF3" w:rsidRDefault="00E13E25">
      <w:pPr>
        <w:spacing w:after="0" w:line="259" w:lineRule="auto"/>
        <w:ind w:left="144" w:firstLine="0"/>
        <w:jc w:val="left"/>
      </w:pPr>
      <w:r>
        <w:rPr>
          <w:rFonts w:ascii="Times New Roman" w:eastAsia="Times New Roman" w:hAnsi="Times New Roman" w:cs="Times New Roman"/>
          <w:sz w:val="20"/>
        </w:rPr>
        <w:t xml:space="preserve"> </w:t>
      </w:r>
    </w:p>
    <w:p w:rsidR="00B82BF3" w:rsidRDefault="00E13E25">
      <w:pPr>
        <w:pStyle w:val="Cmsor1"/>
        <w:numPr>
          <w:ilvl w:val="0"/>
          <w:numId w:val="0"/>
        </w:numPr>
        <w:spacing w:after="66" w:line="267" w:lineRule="auto"/>
        <w:ind w:left="144" w:right="84"/>
        <w:jc w:val="both"/>
      </w:pPr>
      <w:r>
        <w:t xml:space="preserve">Csak a szakhatósági hozzájárulás, valamint a szakértői vélemény esetén adhat ki a jegyző </w:t>
      </w:r>
    </w:p>
    <w:p w:rsidR="00B82BF3" w:rsidRDefault="00E13E25">
      <w:pPr>
        <w:spacing w:after="0" w:line="267" w:lineRule="auto"/>
        <w:ind w:left="144" w:right="84"/>
      </w:pPr>
      <w:r>
        <w:rPr>
          <w:b/>
        </w:rPr>
        <w:t xml:space="preserve">fennmaradási engedélyt. </w:t>
      </w:r>
    </w:p>
    <w:p w:rsidR="00B82BF3" w:rsidRDefault="00E13E25">
      <w:pPr>
        <w:spacing w:after="5" w:line="259" w:lineRule="auto"/>
        <w:ind w:left="144" w:firstLine="0"/>
        <w:jc w:val="left"/>
      </w:pPr>
      <w:r>
        <w:rPr>
          <w:rFonts w:ascii="Times New Roman" w:eastAsia="Times New Roman" w:hAnsi="Times New Roman" w:cs="Times New Roman"/>
          <w:sz w:val="20"/>
        </w:rPr>
        <w:t xml:space="preserve"> </w:t>
      </w:r>
    </w:p>
    <w:p w:rsidR="00B82BF3" w:rsidRDefault="00E13E25">
      <w:pPr>
        <w:ind w:left="144" w:right="91"/>
      </w:pPr>
      <w:r>
        <w:rPr>
          <w:rFonts w:ascii="Times New Roman" w:eastAsia="Times New Roman" w:hAnsi="Times New Roman" w:cs="Times New Roman"/>
          <w:sz w:val="31"/>
          <w:vertAlign w:val="subscript"/>
        </w:rPr>
        <w:t xml:space="preserve"> </w:t>
      </w:r>
      <w:r>
        <w:t xml:space="preserve">A kút engedélyezésének további feltételei: </w:t>
      </w:r>
    </w:p>
    <w:p w:rsidR="00B82BF3" w:rsidRDefault="00E13E25">
      <w:pPr>
        <w:numPr>
          <w:ilvl w:val="0"/>
          <w:numId w:val="6"/>
        </w:numPr>
        <w:ind w:right="91" w:firstLine="178"/>
      </w:pPr>
      <w:r>
        <w:t xml:space="preserve">a kitermelt víz használata során keletkező szennyvíznek a környezetet nem veszélyeztető </w:t>
      </w:r>
    </w:p>
    <w:p w:rsidR="00B82BF3" w:rsidRDefault="00E13E25">
      <w:pPr>
        <w:ind w:left="144" w:right="91"/>
      </w:pPr>
      <w:r>
        <w:rPr>
          <w:i/>
          <w:sz w:val="37"/>
          <w:vertAlign w:val="subscript"/>
        </w:rPr>
        <w:t xml:space="preserve"> </w:t>
      </w:r>
      <w:r>
        <w:t>módon való elhelyezése,</w:t>
      </w:r>
      <w:r>
        <w:rPr>
          <w:i/>
        </w:rPr>
        <w:t xml:space="preserve"> </w:t>
      </w:r>
    </w:p>
    <w:p w:rsidR="00B82BF3" w:rsidRDefault="00E13E25">
      <w:pPr>
        <w:numPr>
          <w:ilvl w:val="0"/>
          <w:numId w:val="6"/>
        </w:numPr>
        <w:spacing w:after="30"/>
        <w:ind w:right="91" w:firstLine="178"/>
      </w:pPr>
      <w:r>
        <w:t>a vizek hasznosítását, védelmét és kártételeinek elhárítását szolgáló tevékenységekre és létesítményekre vonatkozó általános szabályokról szóló kormányrendelet szerinti követelmények maradéktalan teljesítése, valamint</w:t>
      </w:r>
      <w:r>
        <w:rPr>
          <w:i/>
        </w:rPr>
        <w:t xml:space="preserve"> </w:t>
      </w:r>
    </w:p>
    <w:p w:rsidR="00B82BF3" w:rsidRDefault="00E13E25">
      <w:pPr>
        <w:numPr>
          <w:ilvl w:val="0"/>
          <w:numId w:val="6"/>
        </w:numPr>
        <w:spacing w:after="248"/>
        <w:ind w:right="91" w:firstLine="178"/>
      </w:pPr>
      <w:r>
        <w:t xml:space="preserve">a fúrt kút fennmaradásának engedélyezése esetén annak megállapítása, hogy a kút a Korm. rendelet 24. § (1) bekezdés </w:t>
      </w:r>
      <w:r>
        <w:rPr>
          <w:i/>
        </w:rPr>
        <w:t>a)</w:t>
      </w:r>
      <w:r>
        <w:t xml:space="preserve"> pontjának hatálya alá tartozik, és az nem veszélyezteti a vízkészletek védelméhez fűződő érdekeket.</w:t>
      </w:r>
      <w:r>
        <w:rPr>
          <w:i/>
        </w:rPr>
        <w:t xml:space="preserve"> </w:t>
      </w:r>
    </w:p>
    <w:p w:rsidR="00B82BF3" w:rsidRDefault="00E13E25">
      <w:pPr>
        <w:pStyle w:val="Cmsor1"/>
        <w:numPr>
          <w:ilvl w:val="0"/>
          <w:numId w:val="0"/>
        </w:numPr>
        <w:spacing w:after="256"/>
        <w:ind w:left="132" w:right="79"/>
      </w:pPr>
      <w:r>
        <w:t>Az eljárás illetéke, díja</w:t>
      </w:r>
      <w:r>
        <w:rPr>
          <w:b w:val="0"/>
        </w:rPr>
        <w:t xml:space="preserve"> </w:t>
      </w:r>
    </w:p>
    <w:p w:rsidR="00B82BF3" w:rsidRDefault="00E13E25">
      <w:pPr>
        <w:spacing w:after="283"/>
        <w:ind w:left="144" w:right="91"/>
      </w:pPr>
      <w:r>
        <w:t xml:space="preserve">A települési önkormányzat jegyzője részére a fennmaradási engedélyezési eljárásért az illetékekről szóló 1990. évi XCIII. törvény szerinti illetéket kell fizetni, melynek mértéke a 29.§ (1) bekezdésben meghatározott 3.000 Ft. Amennyiben a kút ivóvízbázis-védelmi területen helyezkedik el, ezért annak engedélyezése a területi vízügyi hatóság hatásköre, úgy a BM rendelet szerinti 5.000 Ft mértékű igazgatási szolgáltatási díjat kell megfizetni. Az egyedi vizsgálati dokumentáció elbírálásáért fizetendő igazgatási szolgáltatási díj mértéke pedig 100.000 Ft. </w:t>
      </w:r>
    </w:p>
    <w:p w:rsidR="00B82BF3" w:rsidRDefault="00E13E25">
      <w:pPr>
        <w:pStyle w:val="Cmsor1"/>
        <w:numPr>
          <w:ilvl w:val="0"/>
          <w:numId w:val="0"/>
        </w:numPr>
        <w:ind w:left="132" w:right="95"/>
      </w:pPr>
      <w:r>
        <w:t xml:space="preserve">A vízgazdálkodási bírság </w:t>
      </w:r>
    </w:p>
    <w:p w:rsidR="00B82BF3" w:rsidRDefault="00E13E25">
      <w:pPr>
        <w:spacing w:after="8" w:line="259" w:lineRule="auto"/>
        <w:ind w:left="144" w:firstLine="0"/>
        <w:jc w:val="left"/>
      </w:pPr>
      <w:r>
        <w:rPr>
          <w:rFonts w:ascii="Times New Roman" w:eastAsia="Times New Roman" w:hAnsi="Times New Roman" w:cs="Times New Roman"/>
          <w:sz w:val="20"/>
        </w:rPr>
        <w:t xml:space="preserve"> </w:t>
      </w:r>
    </w:p>
    <w:p w:rsidR="00B82BF3" w:rsidRDefault="00E13E25">
      <w:pPr>
        <w:ind w:left="144" w:right="91"/>
      </w:pPr>
      <w:r>
        <w:t xml:space="preserve">A </w:t>
      </w:r>
      <w:proofErr w:type="spellStart"/>
      <w:r>
        <w:t>Vgtv</w:t>
      </w:r>
      <w:proofErr w:type="spellEnd"/>
      <w:r>
        <w:t xml:space="preserve">. 2018. december 31-ig mentesíti a vízgazdálkodási bírság kiszabása alól azokat a létesítőket, akik a </w:t>
      </w:r>
      <w:proofErr w:type="spellStart"/>
      <w:r>
        <w:t>Vgtv</w:t>
      </w:r>
      <w:proofErr w:type="spellEnd"/>
      <w:r>
        <w:t>. módosítása előtt létesítettek kutat. Azonban aki 2018. december 31-ig nem kér fennmaradási engedélyt az engedély nélkül fúrt kútra, annak 2019. január 1-től vízgazdálkodási bírságot kell fizetni. A bírság az engedély nélkül létrehozott építmény értékének 80%-</w:t>
      </w:r>
      <w:proofErr w:type="spellStart"/>
      <w:r>
        <w:t>áig</w:t>
      </w:r>
      <w:proofErr w:type="spellEnd"/>
      <w:r>
        <w:t xml:space="preserve">, engedély nélküli vízimunka vagy vízhasználat esetén 1 000 000 forintig terjedhet. A természetes személyre kiszabott bírság összege nem haladhatja meg a 300 000 forintot. A fentiekből is látható, hogy a jogalkotó a kutak engedélyeztetési eljárását tette díjmentessé. </w:t>
      </w:r>
    </w:p>
    <w:p w:rsidR="00B82BF3" w:rsidRDefault="00E13E25">
      <w:pPr>
        <w:spacing w:after="20" w:line="259" w:lineRule="auto"/>
        <w:ind w:left="144" w:firstLine="0"/>
        <w:jc w:val="left"/>
      </w:pPr>
      <w:r>
        <w:rPr>
          <w:rFonts w:ascii="Times New Roman" w:eastAsia="Times New Roman" w:hAnsi="Times New Roman" w:cs="Times New Roman"/>
          <w:sz w:val="20"/>
        </w:rPr>
        <w:t xml:space="preserve"> </w:t>
      </w:r>
    </w:p>
    <w:p w:rsidR="00B82BF3" w:rsidRDefault="00E13E25">
      <w:pPr>
        <w:spacing w:after="10" w:line="259" w:lineRule="auto"/>
        <w:ind w:left="144" w:firstLine="0"/>
        <w:jc w:val="left"/>
      </w:pPr>
      <w:r>
        <w:rPr>
          <w:rFonts w:ascii="Times New Roman" w:eastAsia="Times New Roman" w:hAnsi="Times New Roman" w:cs="Times New Roman"/>
          <w:sz w:val="20"/>
        </w:rPr>
        <w:t xml:space="preserve"> </w:t>
      </w:r>
    </w:p>
    <w:p w:rsidR="00B82BF3" w:rsidRDefault="00E13E25" w:rsidP="00025D16">
      <w:pPr>
        <w:pStyle w:val="Cmsor1"/>
        <w:numPr>
          <w:ilvl w:val="0"/>
          <w:numId w:val="0"/>
        </w:numPr>
        <w:spacing w:after="28" w:line="267" w:lineRule="auto"/>
        <w:ind w:left="144" w:right="84"/>
        <w:jc w:val="both"/>
      </w:pPr>
      <w:r>
        <w:t>A kérelem benyújtásához a hatályos, vonatkozó jogszabályok alapján formanyomtatványt készítettünk, ami a www.</w:t>
      </w:r>
      <w:r w:rsidR="00A17F74">
        <w:t>kocsord</w:t>
      </w:r>
      <w:r>
        <w:t xml:space="preserve">.hu honlapról letölthető, illetve személyesen átvehető a </w:t>
      </w:r>
      <w:r w:rsidR="00A17F74">
        <w:t xml:space="preserve">Kocsordi </w:t>
      </w:r>
      <w:r>
        <w:t>Polgármesteri Hivatal</w:t>
      </w:r>
      <w:r w:rsidR="00A17F74">
        <w:t>ban.</w:t>
      </w:r>
      <w:r>
        <w:t xml:space="preserve"> (</w:t>
      </w:r>
      <w:r w:rsidR="00A17F74">
        <w:t>4751 Kocsord, Szent István u. 13.)</w:t>
      </w:r>
      <w:r>
        <w:t xml:space="preserve"> </w:t>
      </w:r>
      <w:bookmarkStart w:id="0" w:name="_GoBack"/>
      <w:bookmarkEnd w:id="0"/>
    </w:p>
    <w:sectPr w:rsidR="00B82BF3">
      <w:footnotePr>
        <w:numRestart w:val="eachPage"/>
      </w:footnotePr>
      <w:pgSz w:w="11899" w:h="16841"/>
      <w:pgMar w:top="1438" w:right="1297" w:bottom="242" w:left="12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3D0" w:rsidRDefault="000163D0">
      <w:pPr>
        <w:spacing w:after="0" w:line="240" w:lineRule="auto"/>
      </w:pPr>
      <w:r>
        <w:separator/>
      </w:r>
    </w:p>
  </w:endnote>
  <w:endnote w:type="continuationSeparator" w:id="0">
    <w:p w:rsidR="000163D0" w:rsidRDefault="0001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3D0" w:rsidRDefault="000163D0">
      <w:pPr>
        <w:spacing w:after="939" w:line="225" w:lineRule="auto"/>
        <w:ind w:left="144" w:right="100" w:hanging="5"/>
      </w:pPr>
      <w:r>
        <w:separator/>
      </w:r>
    </w:p>
  </w:footnote>
  <w:footnote w:type="continuationSeparator" w:id="0">
    <w:p w:rsidR="000163D0" w:rsidRDefault="000163D0">
      <w:pPr>
        <w:spacing w:after="939" w:line="225" w:lineRule="auto"/>
        <w:ind w:left="144" w:right="100" w:hanging="5"/>
      </w:pPr>
      <w:r>
        <w:continuationSeparator/>
      </w:r>
    </w:p>
  </w:footnote>
  <w:footnote w:id="1">
    <w:p w:rsidR="00B82BF3" w:rsidRDefault="00E13E25">
      <w:pPr>
        <w:pStyle w:val="footnotedescription"/>
        <w:spacing w:after="939" w:line="225" w:lineRule="auto"/>
        <w:ind w:left="144" w:hanging="5"/>
      </w:pPr>
      <w:r>
        <w:rPr>
          <w:rStyle w:val="footnotemark"/>
        </w:rPr>
        <w:footnoteRef/>
      </w:r>
      <w:r>
        <w:t xml:space="preserve"> </w:t>
      </w:r>
      <w:r>
        <w:rPr>
          <w:rFonts w:ascii="Garamond" w:eastAsia="Garamond" w:hAnsi="Garamond" w:cs="Garamond"/>
        </w:rPr>
        <w:t>házi ivóvízigény: a polgárok személyi adatainak és lakcímének nyilvántartásáról szóló törvény és a törvény végrehajtására kiadott kormányrendelet szerinti polgár bejelentett lakóhelyeként nyilvántartott, épülettel vagy annak építésére jogosító hatósági határozattal, egyszerű bejelentéssel rendelkező ingatlanon a magánszemély részéről emberi fogyasztás céljából a személyes szükségletek kielégítéséhez szükséges, saját célú ivóvízműből biztosított, nem gazdasági célú vízigény</w:t>
      </w:r>
      <w:r>
        <w:rPr>
          <w:rFonts w:ascii="Garamond" w:eastAsia="Garamond" w:hAnsi="Garamond" w:cs="Garamond"/>
          <w:sz w:val="26"/>
          <w:vertAlign w:val="superscript"/>
        </w:rPr>
        <w:t xml:space="preserve"> </w:t>
      </w:r>
    </w:p>
    <w:p w:rsidR="00B82BF3" w:rsidRDefault="00E13E25">
      <w:pPr>
        <w:pStyle w:val="footnotedescription"/>
        <w:spacing w:after="0" w:line="259" w:lineRule="auto"/>
        <w:ind w:left="0" w:firstLine="0"/>
        <w:jc w:val="right"/>
      </w:pPr>
      <w:r>
        <w:t xml:space="preserve">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62D2C"/>
    <w:multiLevelType w:val="hybridMultilevel"/>
    <w:tmpl w:val="4A7CFF40"/>
    <w:lvl w:ilvl="0" w:tplc="03809D92">
      <w:start w:val="3"/>
      <w:numFmt w:val="decimal"/>
      <w:lvlText w:val="(%1)"/>
      <w:lvlJc w:val="left"/>
      <w:pPr>
        <w:ind w:left="129"/>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9176C698">
      <w:start w:val="1"/>
      <w:numFmt w:val="lowerLetter"/>
      <w:lvlText w:val="%2"/>
      <w:lvlJc w:val="left"/>
      <w:pPr>
        <w:ind w:left="134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2B2213A6">
      <w:start w:val="1"/>
      <w:numFmt w:val="lowerRoman"/>
      <w:lvlText w:val="%3"/>
      <w:lvlJc w:val="left"/>
      <w:pPr>
        <w:ind w:left="206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296EC594">
      <w:start w:val="1"/>
      <w:numFmt w:val="decimal"/>
      <w:lvlText w:val="%4"/>
      <w:lvlJc w:val="left"/>
      <w:pPr>
        <w:ind w:left="278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47F00EC4">
      <w:start w:val="1"/>
      <w:numFmt w:val="lowerLetter"/>
      <w:lvlText w:val="%5"/>
      <w:lvlJc w:val="left"/>
      <w:pPr>
        <w:ind w:left="350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EC6ED46A">
      <w:start w:val="1"/>
      <w:numFmt w:val="lowerRoman"/>
      <w:lvlText w:val="%6"/>
      <w:lvlJc w:val="left"/>
      <w:pPr>
        <w:ind w:left="422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908A3BE">
      <w:start w:val="1"/>
      <w:numFmt w:val="decimal"/>
      <w:lvlText w:val="%7"/>
      <w:lvlJc w:val="left"/>
      <w:pPr>
        <w:ind w:left="494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3A9CFC3A">
      <w:start w:val="1"/>
      <w:numFmt w:val="lowerLetter"/>
      <w:lvlText w:val="%8"/>
      <w:lvlJc w:val="left"/>
      <w:pPr>
        <w:ind w:left="566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C56A20F6">
      <w:start w:val="1"/>
      <w:numFmt w:val="lowerRoman"/>
      <w:lvlText w:val="%9"/>
      <w:lvlJc w:val="left"/>
      <w:pPr>
        <w:ind w:left="638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EF2643E"/>
    <w:multiLevelType w:val="hybridMultilevel"/>
    <w:tmpl w:val="D0D8870E"/>
    <w:lvl w:ilvl="0" w:tplc="8CDC4962">
      <w:start w:val="1"/>
      <w:numFmt w:val="decimal"/>
      <w:lvlText w:val="%1."/>
      <w:lvlJc w:val="left"/>
      <w:pPr>
        <w:ind w:left="549"/>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bscript"/>
      </w:rPr>
    </w:lvl>
    <w:lvl w:ilvl="1" w:tplc="CB1EF06A">
      <w:start w:val="1"/>
      <w:numFmt w:val="lowerLetter"/>
      <w:lvlText w:val="%2"/>
      <w:lvlJc w:val="left"/>
      <w:pPr>
        <w:ind w:left="1250"/>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bscript"/>
      </w:rPr>
    </w:lvl>
    <w:lvl w:ilvl="2" w:tplc="DCBA78FE">
      <w:start w:val="1"/>
      <w:numFmt w:val="lowerRoman"/>
      <w:lvlText w:val="%3"/>
      <w:lvlJc w:val="left"/>
      <w:pPr>
        <w:ind w:left="1970"/>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bscript"/>
      </w:rPr>
    </w:lvl>
    <w:lvl w:ilvl="3" w:tplc="373EC760">
      <w:start w:val="1"/>
      <w:numFmt w:val="decimal"/>
      <w:lvlText w:val="%4"/>
      <w:lvlJc w:val="left"/>
      <w:pPr>
        <w:ind w:left="2690"/>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bscript"/>
      </w:rPr>
    </w:lvl>
    <w:lvl w:ilvl="4" w:tplc="6750ED62">
      <w:start w:val="1"/>
      <w:numFmt w:val="lowerLetter"/>
      <w:lvlText w:val="%5"/>
      <w:lvlJc w:val="left"/>
      <w:pPr>
        <w:ind w:left="3410"/>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bscript"/>
      </w:rPr>
    </w:lvl>
    <w:lvl w:ilvl="5" w:tplc="8E6C5480">
      <w:start w:val="1"/>
      <w:numFmt w:val="lowerRoman"/>
      <w:lvlText w:val="%6"/>
      <w:lvlJc w:val="left"/>
      <w:pPr>
        <w:ind w:left="4130"/>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bscript"/>
      </w:rPr>
    </w:lvl>
    <w:lvl w:ilvl="6" w:tplc="1E1C7E30">
      <w:start w:val="1"/>
      <w:numFmt w:val="decimal"/>
      <w:lvlText w:val="%7"/>
      <w:lvlJc w:val="left"/>
      <w:pPr>
        <w:ind w:left="4850"/>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bscript"/>
      </w:rPr>
    </w:lvl>
    <w:lvl w:ilvl="7" w:tplc="6C4AF610">
      <w:start w:val="1"/>
      <w:numFmt w:val="lowerLetter"/>
      <w:lvlText w:val="%8"/>
      <w:lvlJc w:val="left"/>
      <w:pPr>
        <w:ind w:left="5570"/>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bscript"/>
      </w:rPr>
    </w:lvl>
    <w:lvl w:ilvl="8" w:tplc="60B098E2">
      <w:start w:val="1"/>
      <w:numFmt w:val="lowerRoman"/>
      <w:lvlText w:val="%9"/>
      <w:lvlJc w:val="left"/>
      <w:pPr>
        <w:ind w:left="6290"/>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bscript"/>
      </w:rPr>
    </w:lvl>
  </w:abstractNum>
  <w:abstractNum w:abstractNumId="2" w15:restartNumberingAfterBreak="0">
    <w:nsid w:val="545D2DE0"/>
    <w:multiLevelType w:val="hybridMultilevel"/>
    <w:tmpl w:val="6C9CFB6C"/>
    <w:lvl w:ilvl="0" w:tplc="F984EE6A">
      <w:start w:val="1"/>
      <w:numFmt w:val="lowerLetter"/>
      <w:lvlText w:val="%1)"/>
      <w:lvlJc w:val="left"/>
      <w:pPr>
        <w:ind w:left="129"/>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1" w:tplc="EC68EA9C">
      <w:start w:val="1"/>
      <w:numFmt w:val="lowerLetter"/>
      <w:lvlText w:val="%2"/>
      <w:lvlJc w:val="left"/>
      <w:pPr>
        <w:ind w:left="1344"/>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2" w:tplc="261E9888">
      <w:start w:val="1"/>
      <w:numFmt w:val="lowerRoman"/>
      <w:lvlText w:val="%3"/>
      <w:lvlJc w:val="left"/>
      <w:pPr>
        <w:ind w:left="2064"/>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3" w:tplc="2960CA8A">
      <w:start w:val="1"/>
      <w:numFmt w:val="decimal"/>
      <w:lvlText w:val="%4"/>
      <w:lvlJc w:val="left"/>
      <w:pPr>
        <w:ind w:left="2784"/>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4" w:tplc="C4266AA2">
      <w:start w:val="1"/>
      <w:numFmt w:val="lowerLetter"/>
      <w:lvlText w:val="%5"/>
      <w:lvlJc w:val="left"/>
      <w:pPr>
        <w:ind w:left="3504"/>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5" w:tplc="2D02000A">
      <w:start w:val="1"/>
      <w:numFmt w:val="lowerRoman"/>
      <w:lvlText w:val="%6"/>
      <w:lvlJc w:val="left"/>
      <w:pPr>
        <w:ind w:left="4224"/>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6" w:tplc="D6C856B6">
      <w:start w:val="1"/>
      <w:numFmt w:val="decimal"/>
      <w:lvlText w:val="%7"/>
      <w:lvlJc w:val="left"/>
      <w:pPr>
        <w:ind w:left="4944"/>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7" w:tplc="D8747314">
      <w:start w:val="1"/>
      <w:numFmt w:val="lowerLetter"/>
      <w:lvlText w:val="%8"/>
      <w:lvlJc w:val="left"/>
      <w:pPr>
        <w:ind w:left="5664"/>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8" w:tplc="259C2D9E">
      <w:start w:val="1"/>
      <w:numFmt w:val="lowerRoman"/>
      <w:lvlText w:val="%9"/>
      <w:lvlJc w:val="left"/>
      <w:pPr>
        <w:ind w:left="6384"/>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B77D75"/>
    <w:multiLevelType w:val="hybridMultilevel"/>
    <w:tmpl w:val="814A61F6"/>
    <w:lvl w:ilvl="0" w:tplc="AD02BD9C">
      <w:start w:val="2"/>
      <w:numFmt w:val="upperRoman"/>
      <w:pStyle w:val="Cmsor1"/>
      <w:lvlText w:val="%1."/>
      <w:lvlJc w:val="left"/>
      <w:pPr>
        <w:ind w:left="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95F8EA04">
      <w:start w:val="1"/>
      <w:numFmt w:val="lowerLetter"/>
      <w:lvlText w:val="%2"/>
      <w:lvlJc w:val="left"/>
      <w:pPr>
        <w:ind w:left="122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2F6A6AB0">
      <w:start w:val="1"/>
      <w:numFmt w:val="lowerRoman"/>
      <w:lvlText w:val="%3"/>
      <w:lvlJc w:val="left"/>
      <w:pPr>
        <w:ind w:left="194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4EA22EE6">
      <w:start w:val="1"/>
      <w:numFmt w:val="decimal"/>
      <w:lvlText w:val="%4"/>
      <w:lvlJc w:val="left"/>
      <w:pPr>
        <w:ind w:left="266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836E8ECE">
      <w:start w:val="1"/>
      <w:numFmt w:val="lowerLetter"/>
      <w:lvlText w:val="%5"/>
      <w:lvlJc w:val="left"/>
      <w:pPr>
        <w:ind w:left="338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0E5C3572">
      <w:start w:val="1"/>
      <w:numFmt w:val="lowerRoman"/>
      <w:lvlText w:val="%6"/>
      <w:lvlJc w:val="left"/>
      <w:pPr>
        <w:ind w:left="410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B3205B60">
      <w:start w:val="1"/>
      <w:numFmt w:val="decimal"/>
      <w:lvlText w:val="%7"/>
      <w:lvlJc w:val="left"/>
      <w:pPr>
        <w:ind w:left="482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089EFC2A">
      <w:start w:val="1"/>
      <w:numFmt w:val="lowerLetter"/>
      <w:lvlText w:val="%8"/>
      <w:lvlJc w:val="left"/>
      <w:pPr>
        <w:ind w:left="554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604A683E">
      <w:start w:val="1"/>
      <w:numFmt w:val="lowerRoman"/>
      <w:lvlText w:val="%9"/>
      <w:lvlJc w:val="left"/>
      <w:pPr>
        <w:ind w:left="626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1B5466"/>
    <w:multiLevelType w:val="multilevel"/>
    <w:tmpl w:val="134821F2"/>
    <w:lvl w:ilvl="0">
      <w:start w:val="6"/>
      <w:numFmt w:val="decimal"/>
      <w:lvlText w:val="%1"/>
      <w:lvlJc w:val="left"/>
      <w:pPr>
        <w:ind w:left="36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1">
      <w:start w:val="3"/>
      <w:numFmt w:val="decimal"/>
      <w:lvlText w:val="%1.%2."/>
      <w:lvlJc w:val="left"/>
      <w:pPr>
        <w:ind w:left="791"/>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2">
      <w:start w:val="1"/>
      <w:numFmt w:val="lowerRoman"/>
      <w:lvlText w:val="%3"/>
      <w:lvlJc w:val="left"/>
      <w:pPr>
        <w:ind w:left="116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3">
      <w:start w:val="1"/>
      <w:numFmt w:val="decimal"/>
      <w:lvlText w:val="%4"/>
      <w:lvlJc w:val="left"/>
      <w:pPr>
        <w:ind w:left="188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4">
      <w:start w:val="1"/>
      <w:numFmt w:val="lowerLetter"/>
      <w:lvlText w:val="%5"/>
      <w:lvlJc w:val="left"/>
      <w:pPr>
        <w:ind w:left="260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5">
      <w:start w:val="1"/>
      <w:numFmt w:val="lowerRoman"/>
      <w:lvlText w:val="%6"/>
      <w:lvlJc w:val="left"/>
      <w:pPr>
        <w:ind w:left="332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6">
      <w:start w:val="1"/>
      <w:numFmt w:val="decimal"/>
      <w:lvlText w:val="%7"/>
      <w:lvlJc w:val="left"/>
      <w:pPr>
        <w:ind w:left="404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7">
      <w:start w:val="1"/>
      <w:numFmt w:val="lowerLetter"/>
      <w:lvlText w:val="%8"/>
      <w:lvlJc w:val="left"/>
      <w:pPr>
        <w:ind w:left="476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8">
      <w:start w:val="1"/>
      <w:numFmt w:val="lowerRoman"/>
      <w:lvlText w:val="%9"/>
      <w:lvlJc w:val="left"/>
      <w:pPr>
        <w:ind w:left="5486"/>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abstractNum>
  <w:abstractNum w:abstractNumId="5" w15:restartNumberingAfterBreak="0">
    <w:nsid w:val="61C76C18"/>
    <w:multiLevelType w:val="hybridMultilevel"/>
    <w:tmpl w:val="3BDE29A2"/>
    <w:lvl w:ilvl="0" w:tplc="7438F712">
      <w:start w:val="1"/>
      <w:numFmt w:val="decimal"/>
      <w:lvlText w:val="%1."/>
      <w:lvlJc w:val="left"/>
      <w:pPr>
        <w:ind w:left="8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D629D82">
      <w:start w:val="1"/>
      <w:numFmt w:val="lowerLetter"/>
      <w:lvlText w:val="%2"/>
      <w:lvlJc w:val="left"/>
      <w:pPr>
        <w:ind w:left="15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3DA923A">
      <w:start w:val="1"/>
      <w:numFmt w:val="lowerRoman"/>
      <w:lvlText w:val="%3"/>
      <w:lvlJc w:val="left"/>
      <w:pPr>
        <w:ind w:left="22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27C24F8">
      <w:start w:val="1"/>
      <w:numFmt w:val="decimal"/>
      <w:lvlText w:val="%4"/>
      <w:lvlJc w:val="left"/>
      <w:pPr>
        <w:ind w:left="29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E50AC7A">
      <w:start w:val="1"/>
      <w:numFmt w:val="lowerLetter"/>
      <w:lvlText w:val="%5"/>
      <w:lvlJc w:val="left"/>
      <w:pPr>
        <w:ind w:left="36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73C1760">
      <w:start w:val="1"/>
      <w:numFmt w:val="lowerRoman"/>
      <w:lvlText w:val="%6"/>
      <w:lvlJc w:val="left"/>
      <w:pPr>
        <w:ind w:left="43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D025916">
      <w:start w:val="1"/>
      <w:numFmt w:val="decimal"/>
      <w:lvlText w:val="%7"/>
      <w:lvlJc w:val="left"/>
      <w:pPr>
        <w:ind w:left="51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980BDFE">
      <w:start w:val="1"/>
      <w:numFmt w:val="lowerLetter"/>
      <w:lvlText w:val="%8"/>
      <w:lvlJc w:val="left"/>
      <w:pPr>
        <w:ind w:left="58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1AAD3D2">
      <w:start w:val="1"/>
      <w:numFmt w:val="lowerRoman"/>
      <w:lvlText w:val="%9"/>
      <w:lvlJc w:val="left"/>
      <w:pPr>
        <w:ind w:left="65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2358C8"/>
    <w:multiLevelType w:val="hybridMultilevel"/>
    <w:tmpl w:val="8BDAC5FA"/>
    <w:lvl w:ilvl="0" w:tplc="880CC018">
      <w:start w:val="1"/>
      <w:numFmt w:val="lowerLetter"/>
      <w:lvlText w:val="%1)"/>
      <w:lvlJc w:val="left"/>
      <w:pPr>
        <w:ind w:left="134"/>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1" w:tplc="E0BE530A">
      <w:start w:val="1"/>
      <w:numFmt w:val="lowerLetter"/>
      <w:lvlText w:val="%2"/>
      <w:lvlJc w:val="left"/>
      <w:pPr>
        <w:ind w:left="1262"/>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2" w:tplc="1060AC08">
      <w:start w:val="1"/>
      <w:numFmt w:val="lowerRoman"/>
      <w:lvlText w:val="%3"/>
      <w:lvlJc w:val="left"/>
      <w:pPr>
        <w:ind w:left="1982"/>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3" w:tplc="46D8416A">
      <w:start w:val="1"/>
      <w:numFmt w:val="decimal"/>
      <w:lvlText w:val="%4"/>
      <w:lvlJc w:val="left"/>
      <w:pPr>
        <w:ind w:left="2702"/>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4" w:tplc="CD5E3BEE">
      <w:start w:val="1"/>
      <w:numFmt w:val="lowerLetter"/>
      <w:lvlText w:val="%5"/>
      <w:lvlJc w:val="left"/>
      <w:pPr>
        <w:ind w:left="3422"/>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5" w:tplc="84983A32">
      <w:start w:val="1"/>
      <w:numFmt w:val="lowerRoman"/>
      <w:lvlText w:val="%6"/>
      <w:lvlJc w:val="left"/>
      <w:pPr>
        <w:ind w:left="4142"/>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6" w:tplc="1FD0C282">
      <w:start w:val="1"/>
      <w:numFmt w:val="decimal"/>
      <w:lvlText w:val="%7"/>
      <w:lvlJc w:val="left"/>
      <w:pPr>
        <w:ind w:left="4862"/>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7" w:tplc="A4C6D25E">
      <w:start w:val="1"/>
      <w:numFmt w:val="lowerLetter"/>
      <w:lvlText w:val="%8"/>
      <w:lvlJc w:val="left"/>
      <w:pPr>
        <w:ind w:left="5582"/>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lvl w:ilvl="8" w:tplc="17C8B2D2">
      <w:start w:val="1"/>
      <w:numFmt w:val="lowerRoman"/>
      <w:lvlText w:val="%9"/>
      <w:lvlJc w:val="left"/>
      <w:pPr>
        <w:ind w:left="6302"/>
      </w:pPr>
      <w:rPr>
        <w:rFonts w:ascii="Garamond" w:eastAsia="Garamond" w:hAnsi="Garamond" w:cs="Garamond"/>
        <w:b w:val="0"/>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F3"/>
    <w:rsid w:val="000163D0"/>
    <w:rsid w:val="00025D16"/>
    <w:rsid w:val="00A17F74"/>
    <w:rsid w:val="00B82BF3"/>
    <w:rsid w:val="00E13E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5E8B"/>
  <w15:docId w15:val="{CFDE6157-4C0F-47B7-8E0D-8838783D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2" w:line="271" w:lineRule="auto"/>
      <w:ind w:left="44" w:hanging="10"/>
      <w:jc w:val="both"/>
    </w:pPr>
    <w:rPr>
      <w:rFonts w:ascii="Garamond" w:eastAsia="Garamond" w:hAnsi="Garamond" w:cs="Garamond"/>
      <w:color w:val="000000"/>
      <w:sz w:val="24"/>
    </w:rPr>
  </w:style>
  <w:style w:type="paragraph" w:styleId="Cmsor1">
    <w:name w:val="heading 1"/>
    <w:next w:val="Norml"/>
    <w:link w:val="Cmsor1Char"/>
    <w:uiPriority w:val="9"/>
    <w:qFormat/>
    <w:pPr>
      <w:keepNext/>
      <w:keepLines/>
      <w:numPr>
        <w:numId w:val="7"/>
      </w:numPr>
      <w:spacing w:after="0"/>
      <w:ind w:left="149" w:hanging="10"/>
      <w:jc w:val="center"/>
      <w:outlineLvl w:val="0"/>
    </w:pPr>
    <w:rPr>
      <w:rFonts w:ascii="Garamond" w:eastAsia="Garamond" w:hAnsi="Garamond" w:cs="Garamond"/>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Garamond" w:eastAsia="Garamond" w:hAnsi="Garamond" w:cs="Garamond"/>
      <w:b/>
      <w:color w:val="000000"/>
      <w:sz w:val="24"/>
    </w:rPr>
  </w:style>
  <w:style w:type="paragraph" w:customStyle="1" w:styleId="footnotedescription">
    <w:name w:val="footnote description"/>
    <w:next w:val="Norml"/>
    <w:link w:val="footnotedescriptionChar"/>
    <w:hidden/>
    <w:pPr>
      <w:spacing w:after="470" w:line="242" w:lineRule="auto"/>
      <w:ind w:left="72" w:right="100" w:hanging="2"/>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Garamond" w:eastAsia="Garamond" w:hAnsi="Garamond" w:cs="Garamond"/>
      <w:color w:val="000000"/>
      <w:sz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1500</Words>
  <Characters>10356</Characters>
  <Application>Microsoft Office Word</Application>
  <DocSecurity>0</DocSecurity>
  <Lines>86</Lines>
  <Paragraphs>23</Paragraphs>
  <ScaleCrop>false</ScaleCrop>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Deák Gergő</dc:creator>
  <cp:keywords/>
  <cp:lastModifiedBy>Felhasználó01</cp:lastModifiedBy>
  <cp:revision>4</cp:revision>
  <dcterms:created xsi:type="dcterms:W3CDTF">2018-11-14T13:24:00Z</dcterms:created>
  <dcterms:modified xsi:type="dcterms:W3CDTF">2018-11-26T10:53:00Z</dcterms:modified>
</cp:coreProperties>
</file>